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CSM Assessment</w:t>
      </w:r>
    </w:p>
    <w:p>
      <w:pPr>
        <w:pStyle w:val="3"/>
        <w:spacing w:before="300" w:after="120" w:line="288" w:lineRule="auto"/>
        <w:ind w:left="0"/>
        <w:jc w:val="left"/>
        <w:outlineLvl w:val="2"/>
      </w:pPr>
      <w:bookmarkStart w:name="heading_0" w:id="0"/>
      <w:r>
        <w:rPr>
          <w:rFonts w:eastAsia="等线" w:ascii="Arial" w:cs="Arial" w:hAnsi="Arial"/>
          <w:b w:val="true"/>
          <w:sz w:val="30"/>
        </w:rPr>
        <w:t>Hello there!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Welcome to your </w:t>
      </w:r>
      <w:r>
        <w:rPr>
          <w:rFonts w:eastAsia="等线" w:ascii="Arial" w:cs="Arial" w:hAnsi="Arial"/>
          <w:b w:val="true"/>
          <w:sz w:val="22"/>
        </w:rPr>
        <w:t>Assessment Sheet</w:t>
      </w:r>
      <w:r>
        <w:rPr>
          <w:rFonts w:eastAsia="等线" w:ascii="Arial" w:cs="Arial" w:hAnsi="Arial"/>
          <w:sz w:val="22"/>
        </w:rPr>
        <w:t>—the moment to shine and put your skills to the test! 🌟</w:t>
      </w:r>
    </w:p>
    <w:p>
      <w:pPr>
        <w:spacing w:before="120" w:after="120" w:line="288" w:lineRule="auto"/>
        <w:ind w:left="0"/>
        <w:jc w:val="left"/>
      </w:pPr>
      <w:r>
        <w:rPr>
          <w:rFonts w:eastAsia="等线" w:ascii="Arial" w:cs="Arial" w:hAnsi="Arial"/>
          <w:sz w:val="22"/>
        </w:rPr>
        <w:t>Here’s the plan:</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 xml:space="preserve">You’ll tackle a </w:t>
      </w:r>
      <w:r>
        <w:rPr>
          <w:rFonts w:eastAsia="等线" w:ascii="Arial" w:cs="Arial" w:hAnsi="Arial"/>
          <w:b w:val="true"/>
          <w:sz w:val="22"/>
        </w:rPr>
        <w:t>list of scenarios</w:t>
      </w:r>
      <w:r>
        <w:rPr>
          <w:rFonts w:eastAsia="等线" w:ascii="Arial" w:cs="Arial" w:hAnsi="Arial"/>
          <w:sz w:val="22"/>
        </w:rPr>
        <w:t xml:space="preserve"> by drafting clear, solution-driven call scripts. Make a copy of this template </w:t>
      </w:r>
      <w:hyperlink r:id="rId5">
        <w:r>
          <w:rPr>
            <w:rFonts w:eastAsia="等线" w:ascii="Arial" w:cs="Arial" w:hAnsi="Arial"/>
            <w:color w:val="3370ff"/>
            <w:sz w:val="22"/>
          </w:rPr>
          <w:t>AM Assessment Template</w:t>
        </w:r>
      </w:hyperlink>
    </w:p>
    <w:p>
      <w:pPr>
        <w:numPr>
          <w:numId w:val="2"/>
        </w:numPr>
        <w:spacing w:before="120" w:after="120" w:line="288" w:lineRule="auto"/>
        <w:ind w:left="0"/>
        <w:jc w:val="left"/>
      </w:pPr>
      <w:r>
        <w:rPr>
          <w:rFonts w:eastAsia="等线" w:ascii="Arial" w:cs="Arial" w:hAnsi="Arial"/>
          <w:sz w:val="22"/>
        </w:rPr>
        <w:t>Justify your decisions to your coach based on the processes and case studies you’ve studied so far. (Hint: Creativity is your best friend here!)</w:t>
      </w:r>
    </w:p>
    <w:p>
      <w:pPr>
        <w:pStyle w:val="3"/>
        <w:spacing w:before="300" w:after="120" w:line="288" w:lineRule="auto"/>
        <w:ind w:left="0"/>
        <w:jc w:val="left"/>
        <w:outlineLvl w:val="2"/>
      </w:pPr>
      <w:bookmarkStart w:name="heading_1" w:id="1"/>
      <w:r>
        <w:rPr>
          <w:rFonts w:eastAsia="等线" w:ascii="Arial" w:cs="Arial" w:hAnsi="Arial"/>
          <w:b w:val="true"/>
          <w:sz w:val="30"/>
        </w:rPr>
        <w:t>How to Ace This Assessment:</w:t>
      </w:r>
      <w:bookmarkEnd w:id="1"/>
    </w:p>
    <w:p>
      <w:pPr>
        <w:numPr>
          <w:numId w:val="3"/>
        </w:numPr>
        <w:spacing w:before="120" w:after="120" w:line="288" w:lineRule="auto"/>
        <w:ind w:left="0"/>
        <w:jc w:val="left"/>
      </w:pPr>
      <w:r>
        <w:rPr>
          <w:rFonts w:eastAsia="等线" w:ascii="Arial" w:cs="Arial" w:hAnsi="Arial"/>
          <w:sz w:val="22"/>
        </w:rPr>
        <w:t xml:space="preserve">Use your </w:t>
      </w:r>
      <w:r>
        <w:rPr>
          <w:rFonts w:eastAsia="等线" w:ascii="Arial" w:cs="Arial" w:hAnsi="Arial"/>
          <w:b w:val="true"/>
          <w:sz w:val="22"/>
        </w:rPr>
        <w:t>problem-solving skills</w:t>
      </w:r>
      <w:r>
        <w:rPr>
          <w:rFonts w:eastAsia="等线" w:ascii="Arial" w:cs="Arial" w:hAnsi="Arial"/>
          <w:sz w:val="22"/>
        </w:rPr>
        <w:t xml:space="preserve"> and imagination to craft scripts tailored to each scenario.</w:t>
      </w:r>
    </w:p>
    <w:p>
      <w:pPr>
        <w:numPr>
          <w:numId w:val="4"/>
        </w:numPr>
        <w:spacing w:before="120" w:after="120" w:line="288" w:lineRule="auto"/>
        <w:ind w:left="0"/>
        <w:jc w:val="left"/>
      </w:pPr>
      <w:r>
        <w:rPr>
          <w:rFonts w:eastAsia="等线" w:ascii="Arial" w:cs="Arial" w:hAnsi="Arial"/>
          <w:sz w:val="22"/>
        </w:rPr>
        <w:t xml:space="preserve">Save your </w:t>
      </w:r>
      <w:r>
        <w:rPr>
          <w:rFonts w:eastAsia="等线" w:ascii="Arial" w:cs="Arial" w:hAnsi="Arial"/>
          <w:b w:val="true"/>
          <w:sz w:val="22"/>
        </w:rPr>
        <w:t>call recordings</w:t>
      </w:r>
      <w:r>
        <w:rPr>
          <w:rFonts w:eastAsia="等线" w:ascii="Arial" w:cs="Arial" w:hAnsi="Arial"/>
          <w:sz w:val="22"/>
        </w:rPr>
        <w:t xml:space="preserve"> in a Lark drive (think of it as your highlight reel 🎙️); share it with you coach.</w:t>
      </w:r>
    </w:p>
    <w:p>
      <w:pPr>
        <w:numPr>
          <w:numId w:val="5"/>
        </w:numPr>
        <w:spacing w:before="120" w:after="120" w:line="288" w:lineRule="auto"/>
        <w:ind w:left="453"/>
        <w:jc w:val="left"/>
      </w:pPr>
      <w:r>
        <w:rPr>
          <w:rFonts w:eastAsia="等线" w:ascii="Arial" w:cs="Arial" w:hAnsi="Arial"/>
          <w:sz w:val="22"/>
        </w:rPr>
        <w:t xml:space="preserve">You could record your calls using lark. </w:t>
      </w:r>
    </w:p>
    <w:p>
      <w:pPr>
        <w:spacing w:before="120" w:after="120" w:line="288" w:lineRule="auto"/>
        <w:ind w:left="0"/>
        <w:jc w:val="left"/>
      </w:pPr>
      <w:r>
        <w:rPr>
          <w:rFonts w:eastAsia="等线" w:ascii="Arial" w:cs="Arial" w:hAnsi="Arial"/>
          <w:b w:val="true"/>
          <w:color w:val="646a73"/>
          <w:sz w:val="22"/>
        </w:rPr>
        <w:t>[Recording Steps.mov]</w:t>
      </w:r>
    </w:p>
    <w:p>
      <w:pPr>
        <w:spacing w:before="120" w:after="120" w:line="288" w:lineRule="auto"/>
        <w:ind w:left="453"/>
        <w:jc w:val="left"/>
      </w:pPr>
    </w:p>
    <w:p>
      <w:pPr>
        <w:numPr>
          <w:numId w:val="6"/>
        </w:numPr>
        <w:spacing w:before="120" w:after="120" w:line="288" w:lineRule="auto"/>
        <w:ind w:left="0"/>
        <w:jc w:val="left"/>
      </w:pPr>
      <w:r>
        <w:rPr>
          <w:rFonts w:eastAsia="等线" w:ascii="Arial" w:cs="Arial" w:hAnsi="Arial"/>
          <w:sz w:val="22"/>
        </w:rPr>
        <w:t>Hyperlink the saved recordings directly into this document—let’s keep it tidy and pro!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Tip:</w:t>
      </w:r>
      <w:r>
        <w:rPr>
          <w:rFonts w:eastAsia="等线" w:ascii="Arial" w:cs="Arial" w:hAnsi="Arial"/>
          <w:sz w:val="22"/>
        </w:rPr>
        <w:t xml:space="preserve"> Clarity + Creativity = Winning Combo 💡</w:t>
      </w:r>
    </w:p>
    <w:p>
      <w:pPr>
        <w:spacing w:before="120" w:after="120" w:line="288" w:lineRule="auto"/>
        <w:ind w:left="0"/>
        <w:jc w:val="left"/>
      </w:pPr>
    </w:p>
    <w:p>
      <w:pPr>
        <w:spacing w:before="120" w:after="120" w:line="288" w:lineRule="auto"/>
        <w:ind w:left="0"/>
        <w:jc w:val="left"/>
      </w:pPr>
      <w:r>
        <w:rPr>
          <w:rFonts w:eastAsia="等线" w:ascii="Arial" w:cs="Arial" w:hAnsi="Arial"/>
          <w:sz w:val="22"/>
        </w:rPr>
        <w:t>Good luck, and remember—this is your stage, so make it count! 🚀</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color w:val="6425d0"/>
          <w:sz w:val="36"/>
        </w:rPr>
        <w:t>Task 1:</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We would like to understand how you would communicate with our merchants to remind them to renew their accounts and ensure they make payment before the due date. Craft scripts based on the three types of accounts below. Once completed, record yourself and provide the hyperlink in this document.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20"/>
      </w:tblGrid>
      <w:tr>
        <w:tc>
          <w:tcPr>
            <w:tcW w:w="642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Key Account Script:</w:t>
            </w:r>
          </w:p>
        </w:tc>
      </w:tr>
      <w:tr>
        <w:tc>
          <w:tcPr>
            <w:tcW w:w="6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 xml:space="preserve">: </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20"/>
      </w:tblGrid>
      <w:tr>
        <w:tc>
          <w:tcPr>
            <w:tcW w:w="642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b w:val="true"/>
                <w:sz w:val="22"/>
              </w:rPr>
              <w:t>Mid Size Account /High GMV Script:</w:t>
            </w:r>
          </w:p>
        </w:tc>
      </w:tr>
      <w:tr>
        <w:tc>
          <w:tcPr>
            <w:tcW w:w="6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20"/>
      </w:tblGrid>
      <w:tr>
        <w:tc>
          <w:tcPr>
            <w:tcW w:w="642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b w:val="true"/>
                <w:sz w:val="22"/>
              </w:rPr>
              <w:t>Non Key Account Script:</w:t>
            </w:r>
          </w:p>
        </w:tc>
      </w:tr>
      <w:tr>
        <w:tc>
          <w:tcPr>
            <w:tcW w:w="6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3" w:id="3"/>
      <w:bookmarkEnd w:id="3"/>
    </w:p>
    <w:p>
      <w:pPr>
        <w:pStyle w:val="1"/>
        <w:spacing w:before="380" w:after="140" w:line="288" w:lineRule="auto"/>
        <w:ind w:left="0"/>
        <w:jc w:val="left"/>
        <w:outlineLvl w:val="0"/>
      </w:pPr>
      <w:bookmarkStart w:name="heading_4" w:id="4"/>
      <w:r>
        <w:rPr>
          <w:rFonts w:eastAsia="等线" w:ascii="Arial" w:cs="Arial" w:hAnsi="Arial"/>
          <w:b w:val="true"/>
          <w:color w:val="6425d0"/>
          <w:sz w:val="36"/>
        </w:rPr>
        <w:t xml:space="preserve">Task 2: </w:t>
      </w:r>
      <w:bookmarkEnd w:id="4"/>
    </w:p>
    <w:p>
      <w:pPr>
        <w:spacing w:before="120" w:after="120" w:line="288" w:lineRule="auto"/>
        <w:ind w:left="0"/>
        <w:jc w:val="left"/>
      </w:pPr>
      <w:r>
        <w:rPr>
          <w:rFonts w:eastAsia="等线" w:ascii="Arial" w:cs="Arial" w:hAnsi="Arial"/>
          <w:sz w:val="22"/>
        </w:rPr>
        <w:t>The merchant has an affordable offer for the Food Delivery Integration feature, without specifying the competitor. How would you present the value proposition to persuade the merchant to select StoreHub instead?</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70"/>
      </w:tblGrid>
      <w:tr>
        <w:tc>
          <w:tcPr>
            <w:tcW w:w="5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5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color w:val="6425d0"/>
          <w:sz w:val="36"/>
        </w:rPr>
        <w:t>Task 3:</w:t>
      </w:r>
      <w:bookmarkEnd w:id="5"/>
    </w:p>
    <w:p>
      <w:pPr>
        <w:spacing w:before="120" w:after="120" w:line="288" w:lineRule="auto"/>
        <w:ind w:left="0"/>
        <w:jc w:val="left"/>
      </w:pPr>
      <w:r>
        <w:rPr>
          <w:rFonts w:eastAsia="等线" w:ascii="Arial" w:cs="Arial" w:hAnsi="Arial"/>
          <w:sz w:val="22"/>
        </w:rPr>
        <w:t xml:space="preserve">Merchant demands to downgrade from Advance Plan to Starter Plan as all features are not being utilized. How would you propose the best solution to retain?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6" w:id="6"/>
      <w:bookmarkEnd w:id="6"/>
    </w:p>
    <w:p>
      <w:pPr>
        <w:pStyle w:val="1"/>
        <w:spacing w:before="380" w:after="140" w:line="288" w:lineRule="auto"/>
        <w:ind w:left="0"/>
        <w:jc w:val="left"/>
        <w:outlineLvl w:val="0"/>
      </w:pPr>
      <w:bookmarkStart w:name="heading_7" w:id="7"/>
      <w:r>
        <w:rPr>
          <w:rFonts w:eastAsia="等线" w:ascii="Arial" w:cs="Arial" w:hAnsi="Arial"/>
          <w:b w:val="true"/>
          <w:color w:val="6425d0"/>
          <w:sz w:val="36"/>
        </w:rPr>
        <w:t>Task 4:</w:t>
      </w:r>
      <w:bookmarkEnd w:id="7"/>
    </w:p>
    <w:p>
      <w:pPr>
        <w:spacing w:before="120" w:after="120" w:line="288" w:lineRule="auto"/>
        <w:ind w:left="0"/>
        <w:jc w:val="left"/>
      </w:pPr>
      <w:r>
        <w:rPr>
          <w:rFonts w:eastAsia="等线" w:ascii="Arial" w:cs="Arial" w:hAnsi="Arial"/>
          <w:sz w:val="22"/>
        </w:rPr>
        <w:t>The merchant refuses to continue their StoreHub subscription due to their dislike of recurring fees and their preference for managing business operations with pen and paper. How would you propose the best solution to retain them?</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color w:val="6425d0"/>
          <w:sz w:val="36"/>
        </w:rPr>
        <w:t>Task 5:</w:t>
      </w:r>
      <w:bookmarkEnd w:id="8"/>
    </w:p>
    <w:p>
      <w:pPr>
        <w:spacing w:before="120" w:after="120" w:line="288" w:lineRule="auto"/>
        <w:ind w:left="0"/>
        <w:jc w:val="left"/>
      </w:pPr>
      <w:r>
        <w:rPr>
          <w:rFonts w:eastAsia="等线" w:ascii="Arial" w:cs="Arial" w:hAnsi="Arial"/>
          <w:sz w:val="22"/>
        </w:rPr>
        <w:t xml:space="preserve">StoreHub is offering Hardware discounts with Starter Plans for new merchants. Merchant has approached you to downgrade their plan from Advance to Starter so they can enjoy the discount. How would you solve this problem?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color w:val="6425d0"/>
          <w:sz w:val="36"/>
        </w:rPr>
        <w:t>Task 6:</w:t>
      </w:r>
      <w:bookmarkEnd w:id="9"/>
    </w:p>
    <w:p>
      <w:pPr>
        <w:spacing w:before="120" w:after="120" w:line="288" w:lineRule="auto"/>
        <w:ind w:left="0"/>
        <w:jc w:val="left"/>
      </w:pPr>
      <w:r>
        <w:rPr>
          <w:rFonts w:eastAsia="等线" w:ascii="Arial" w:cs="Arial" w:hAnsi="Arial"/>
          <w:sz w:val="22"/>
        </w:rPr>
        <w:t xml:space="preserve">Merchant expresses that business is not running smoothly and they can’t afford their current plan but as an alternative, merchant is requesting to downgrade. How would you help this merchant?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color w:val="6425d0"/>
          <w:sz w:val="36"/>
        </w:rPr>
        <w:t>Task 7:</w:t>
      </w:r>
      <w:bookmarkEnd w:id="10"/>
    </w:p>
    <w:p>
      <w:pPr>
        <w:spacing w:before="120" w:after="120" w:line="288" w:lineRule="auto"/>
        <w:ind w:left="0"/>
        <w:jc w:val="left"/>
      </w:pPr>
      <w:r>
        <w:rPr>
          <w:rFonts w:eastAsia="等线" w:ascii="Arial" w:cs="Arial" w:hAnsi="Arial"/>
          <w:sz w:val="22"/>
        </w:rPr>
        <w:t xml:space="preserve">An angry merchant has threatened to unlock the device and use it with a different POS system. How would you explain to a merchant that the Hardware device can’t be associated with a different POS system?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tblGrid>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color w:val="6425d0"/>
          <w:sz w:val="36"/>
        </w:rPr>
        <w:t>Task 8:</w:t>
      </w:r>
      <w:bookmarkEnd w:id="11"/>
    </w:p>
    <w:p>
      <w:pPr>
        <w:spacing w:before="120" w:after="120" w:line="288" w:lineRule="auto"/>
        <w:ind w:left="0"/>
        <w:jc w:val="left"/>
      </w:pPr>
      <w:r>
        <w:rPr>
          <w:rFonts w:eastAsia="等线" w:ascii="Arial" w:cs="Arial" w:hAnsi="Arial"/>
          <w:sz w:val="22"/>
        </w:rPr>
        <w:t>Merchant is making a special request to have a warehouse system, however, Storehub has yet to establish this feature. How would you ensure that merchants still renew with StoreHub?</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255"/>
      </w:tblGrid>
      <w:tr>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2" w:id="12"/>
      <w:bookmarkEnd w:id="12"/>
    </w:p>
    <w:p>
      <w:pPr>
        <w:pStyle w:val="1"/>
        <w:spacing w:before="380" w:after="140" w:line="288" w:lineRule="auto"/>
        <w:ind w:left="0"/>
        <w:jc w:val="left"/>
        <w:outlineLvl w:val="0"/>
      </w:pPr>
      <w:bookmarkStart w:name="heading_13" w:id="13"/>
      <w:r>
        <w:rPr>
          <w:rFonts w:eastAsia="等线" w:ascii="Arial" w:cs="Arial" w:hAnsi="Arial"/>
          <w:b w:val="true"/>
          <w:color w:val="6425d0"/>
          <w:sz w:val="36"/>
        </w:rPr>
        <w:t>Task 9:</w:t>
      </w:r>
      <w:bookmarkEnd w:id="13"/>
    </w:p>
    <w:p>
      <w:pPr>
        <w:spacing w:before="120" w:after="120" w:line="288" w:lineRule="auto"/>
        <w:ind w:left="0"/>
        <w:jc w:val="left"/>
      </w:pPr>
      <w:r>
        <w:rPr>
          <w:rFonts w:eastAsia="等线" w:ascii="Arial" w:cs="Arial" w:hAnsi="Arial"/>
          <w:sz w:val="22"/>
        </w:rPr>
        <w:t xml:space="preserve">Merchants want to integrate with their Ecommerce system to manage their Stock. How would you advise merchants about our limitation in accommodating this request?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tblGrid>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4" w:id="14"/>
      <w:r>
        <w:rPr>
          <w:rFonts w:eastAsia="等线" w:ascii="Arial" w:cs="Arial" w:hAnsi="Arial"/>
          <w:b w:val="true"/>
          <w:color w:val="6425d0"/>
          <w:sz w:val="36"/>
        </w:rPr>
        <w:t>Task 10:</w:t>
      </w:r>
      <w:bookmarkEnd w:id="14"/>
    </w:p>
    <w:p>
      <w:pPr>
        <w:spacing w:before="120" w:after="120" w:line="288" w:lineRule="auto"/>
        <w:ind w:left="0"/>
        <w:jc w:val="left"/>
      </w:pPr>
      <w:r>
        <w:rPr>
          <w:rFonts w:eastAsia="等线" w:ascii="Arial" w:cs="Arial" w:hAnsi="Arial"/>
          <w:sz w:val="22"/>
        </w:rPr>
        <w:t xml:space="preserve">Merchant challenges that StoreHub is not their best option and demands for termination as they would rather go to Order Pin for a cheaper solution. How would you counter this situation?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tblGrid>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Script</w:t>
            </w:r>
            <w:r>
              <w:rPr>
                <w:rFonts w:eastAsia="等线" w:ascii="Arial" w:cs="Arial" w:hAnsi="Arial"/>
                <w:sz w:val="22"/>
              </w:rPr>
              <w:t>:</w:t>
            </w:r>
          </w:p>
        </w:tc>
      </w:tr>
      <w:tr>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w:t>
            </w:r>
            <w:r>
              <w:rPr>
                <w:rFonts w:eastAsia="等线" w:ascii="Arial" w:cs="Arial" w:hAnsi="Arial"/>
                <w:sz w:val="22"/>
              </w:rPr>
              <w:t>:</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91156">
    <w:lvl>
      <w:start w:val="1"/>
      <w:numFmt w:val="decimal"/>
      <w:suff w:val="tab"/>
      <w:lvlText w:val="%1."/>
      <w:rPr>
        <w:color w:val="3370ff"/>
      </w:rPr>
    </w:lvl>
  </w:abstractNum>
  <w:abstractNum w:abstractNumId="91157">
    <w:lvl>
      <w:start w:val="2"/>
      <w:numFmt w:val="decimal"/>
      <w:suff w:val="tab"/>
      <w:lvlText w:val="%1."/>
      <w:rPr>
        <w:color w:val="3370ff"/>
      </w:rPr>
    </w:lvl>
  </w:abstractNum>
  <w:abstractNum w:abstractNumId="91158">
    <w:lvl>
      <w:numFmt w:val="bullet"/>
      <w:suff w:val="tab"/>
      <w:lvlText w:val="•"/>
      <w:rPr>
        <w:color w:val="3370ff"/>
      </w:rPr>
    </w:lvl>
  </w:abstractNum>
  <w:abstractNum w:abstractNumId="91159">
    <w:lvl>
      <w:numFmt w:val="bullet"/>
      <w:suff w:val="tab"/>
      <w:lvlText w:val="•"/>
      <w:rPr>
        <w:color w:val="3370ff"/>
      </w:rPr>
    </w:lvl>
  </w:abstractNum>
  <w:abstractNum w:abstractNumId="91160">
    <w:lvl>
      <w:numFmt w:val="bullet"/>
      <w:suff w:val="tab"/>
      <w:lvlText w:val="￮"/>
      <w:rPr>
        <w:color w:val="3370ff"/>
      </w:rPr>
    </w:lvl>
  </w:abstractNum>
  <w:abstractNum w:abstractNumId="91161">
    <w:lvl>
      <w:numFmt w:val="bullet"/>
      <w:suff w:val="tab"/>
      <w:lvlText w:val="•"/>
      <w:rPr>
        <w:color w:val="3370ff"/>
      </w:rPr>
    </w:lvl>
  </w:abstractNum>
  <w:abstractNum w:abstractNumId="91162">
    <w:lvl>
      <w:start w:val="1"/>
      <w:numFmt w:val="decimal"/>
      <w:suff w:val="tab"/>
      <w:lvlText w:val="%1."/>
      <w:rPr>
        <w:color w:val="3370ff"/>
      </w:rPr>
    </w:lvl>
  </w:abstractNum>
  <w:abstractNum w:abstractNumId="91163">
    <w:lvl>
      <w:start w:val="2"/>
      <w:numFmt w:val="decimal"/>
      <w:suff w:val="tab"/>
      <w:lvlText w:val="%1."/>
      <w:rPr>
        <w:color w:val="3370ff"/>
      </w:rPr>
    </w:lvl>
  </w:abstractNum>
  <w:abstractNum w:abstractNumId="91164">
    <w:lvl>
      <w:start w:val="3"/>
      <w:numFmt w:val="decimal"/>
      <w:suff w:val="tab"/>
      <w:lvlText w:val="%1."/>
      <w:rPr>
        <w:color w:val="3370ff"/>
      </w:rPr>
    </w:lvl>
  </w:abstractNum>
  <w:num w:numId="1">
    <w:abstractNumId w:val="91156"/>
  </w:num>
  <w:num w:numId="2">
    <w:abstractNumId w:val="91157"/>
  </w:num>
  <w:num w:numId="3">
    <w:abstractNumId w:val="91158"/>
  </w:num>
  <w:num w:numId="4">
    <w:abstractNumId w:val="91159"/>
  </w:num>
  <w:num w:numId="5">
    <w:abstractNumId w:val="91160"/>
  </w:num>
  <w:num w:numId="6">
    <w:abstractNumId w:val="91161"/>
  </w:num>
  <w:num w:numId="7">
    <w:abstractNumId w:val="91162"/>
  </w:num>
  <w:num w:numId="8">
    <w:abstractNumId w:val="91163"/>
  </w:num>
  <w:num w:numId="9">
    <w:abstractNumId w:val="911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torehub.sg.larksuite.com/docx/UZYTdZ5GMoIvqoxASDGl0Gd9gNb" TargetMode="External" Type="http://schemas.openxmlformats.org/officeDocument/2006/relationships/hyperlink"/><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2026-01-09T12:23:00Z</dcterms:created>
  <dc:creator>Apache POI</dc:creator>
</cp:coreProperties>
</file>