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Mock Test Flow!</w:t>
      </w:r>
    </w:p>
    <w:p>
      <w:pPr>
        <w:pStyle w:val="3"/>
        <w:spacing w:before="300" w:after="120" w:line="288" w:lineRule="auto"/>
        <w:ind w:left="0"/>
        <w:jc w:val="left"/>
        <w:outlineLvl w:val="2"/>
      </w:pPr>
      <w:bookmarkStart w:name="heading_0" w:id="0"/>
      <w:r>
        <w:rPr>
          <w:rFonts w:eastAsia="等线" w:ascii="Arial" w:cs="Arial" w:hAnsi="Arial"/>
          <w:b w:val="true"/>
          <w:color w:val="de7802"/>
          <w:sz w:val="30"/>
        </w:rPr>
        <w:t>What is a Mock Test? 🤔</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A Mock Test is like stepping into a mini-theatre where you’re the </w:t>
      </w:r>
      <w:r>
        <w:rPr>
          <w:rFonts w:eastAsia="等线" w:ascii="Arial" w:cs="Arial" w:hAnsi="Arial"/>
          <w:b w:val="true"/>
          <w:sz w:val="22"/>
        </w:rPr>
        <w:t>star of the show</w:t>
      </w:r>
      <w:r>
        <w:rPr>
          <w:rFonts w:eastAsia="等线" w:ascii="Arial" w:cs="Arial" w:hAnsi="Arial"/>
          <w:sz w:val="22"/>
        </w:rPr>
        <w:t xml:space="preserve"> 🎭! It’s a role-play situation where you’ll replicate </w:t>
      </w:r>
      <w:r>
        <w:rPr>
          <w:rFonts w:eastAsia="等线" w:ascii="Arial" w:cs="Arial" w:hAnsi="Arial"/>
          <w:b w:val="true"/>
          <w:sz w:val="22"/>
        </w:rPr>
        <w:t>real-life scenarios</w:t>
      </w:r>
      <w:r>
        <w:rPr>
          <w:rFonts w:eastAsia="等线" w:ascii="Arial" w:cs="Arial" w:hAnsi="Arial"/>
          <w:sz w:val="22"/>
        </w:rPr>
        <w:t xml:space="preserve">, and your coach will act as both the merchant and your evaluator, assessing you with a </w:t>
      </w:r>
      <w:hyperlink r:id="rId4">
        <w:r>
          <w:rPr>
            <w:rFonts w:eastAsia="等线" w:ascii="Arial" w:cs="Arial" w:hAnsi="Arial"/>
            <w:b w:val="true"/>
            <w:color w:val="3370ff"/>
            <w:sz w:val="22"/>
            <w:shd w:fill="fbbfbc"/>
          </w:rPr>
          <w:t>scorecard</w:t>
        </w:r>
      </w:hyperlink>
      <w:r>
        <w:rPr>
          <w:rFonts w:eastAsia="等线" w:ascii="Arial" w:cs="Arial" w:hAnsi="Arial"/>
          <w:b w:val="true"/>
          <w:sz w:val="22"/>
          <w:shd w:fill="fbbfbc"/>
        </w:rPr>
        <w:t>.</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 w:id="1"/>
      <w:r>
        <w:rPr>
          <w:rFonts w:eastAsia="等线" w:ascii="Arial" w:cs="Arial" w:hAnsi="Arial"/>
          <w:b w:val="true"/>
          <w:color w:val="de7802"/>
          <w:sz w:val="30"/>
        </w:rPr>
        <w:t>How Does It Work?</w:t>
      </w:r>
      <w:bookmarkEnd w:id="1"/>
    </w:p>
    <w:p>
      <w:pPr>
        <w:spacing w:before="120" w:after="120" w:line="288" w:lineRule="auto"/>
        <w:ind w:left="0"/>
        <w:jc w:val="left"/>
      </w:pPr>
      <w:r>
        <w:rPr>
          <w:rFonts w:eastAsia="等线" w:ascii="Arial" w:cs="Arial" w:hAnsi="Arial"/>
          <w:sz w:val="22"/>
        </w:rPr>
        <w:t xml:space="preserve">For your role, you’ll face </w:t>
      </w:r>
      <w:r>
        <w:rPr>
          <w:rFonts w:eastAsia="等线" w:ascii="Arial" w:cs="Arial" w:hAnsi="Arial"/>
          <w:b w:val="true"/>
          <w:sz w:val="22"/>
        </w:rPr>
        <w:t>4 rounds of Mock Tests</w:t>
      </w:r>
      <w:r>
        <w:rPr>
          <w:rFonts w:eastAsia="等线" w:ascii="Arial" w:cs="Arial" w:hAnsi="Arial"/>
          <w:sz w:val="22"/>
        </w:rPr>
        <w:t xml:space="preserve">, and your total score will be the </w:t>
      </w:r>
      <w:r>
        <w:rPr>
          <w:rFonts w:eastAsia="等线" w:ascii="Arial" w:cs="Arial" w:hAnsi="Arial"/>
          <w:b w:val="true"/>
          <w:sz w:val="22"/>
        </w:rPr>
        <w:t>average</w:t>
      </w:r>
      <w:r>
        <w:rPr>
          <w:rFonts w:eastAsia="等线" w:ascii="Arial" w:cs="Arial" w:hAnsi="Arial"/>
          <w:sz w:val="22"/>
        </w:rPr>
        <w:t xml:space="preserve"> of all 4 rounds. Think of it as your final training boss battle, and you’re here to conquer! 💪</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color w:val="de7802"/>
          <w:sz w:val="30"/>
        </w:rPr>
        <w:t>The 4 Mock Test Rounds 🎯</w:t>
      </w:r>
      <w:bookmarkEnd w:id="2"/>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Welcome Call &amp; Go Live Check-In</w:t>
      </w:r>
    </w:p>
    <w:p>
      <w:pPr>
        <w:numPr>
          <w:numId w:val="2"/>
        </w:numPr>
        <w:spacing w:before="120" w:after="120" w:line="288" w:lineRule="auto"/>
        <w:ind w:left="453"/>
        <w:jc w:val="left"/>
      </w:pPr>
      <w:r>
        <w:rPr>
          <w:rFonts w:eastAsia="等线" w:ascii="Arial" w:cs="Arial" w:hAnsi="Arial"/>
          <w:sz w:val="22"/>
        </w:rPr>
        <w:t xml:space="preserve">Just like the call samples you’ve studied, you’ll use a </w:t>
      </w:r>
      <w:r>
        <w:rPr>
          <w:rFonts w:eastAsia="等线" w:ascii="Arial" w:cs="Arial" w:hAnsi="Arial"/>
          <w:b w:val="true"/>
          <w:sz w:val="22"/>
        </w:rPr>
        <w:t>Salesforce account</w:t>
      </w:r>
      <w:r>
        <w:rPr>
          <w:rFonts w:eastAsia="等线" w:ascii="Arial" w:cs="Arial" w:hAnsi="Arial"/>
          <w:sz w:val="22"/>
        </w:rPr>
        <w:t xml:space="preserve"> and follow the provided script.</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tblGrid>
      <w:tr>
        <w:tc>
          <w:tcPr>
            <w:tcW w:w="30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Welcome Call</w:t>
            </w:r>
          </w:p>
        </w:tc>
        <w:tc>
          <w:tcPr>
            <w:tcW w:w="1500" w:type="dxa"/>
            <w:hMerge w:val="continue"/>
            <w:tcMar>
              <w:top w:type="dxa" w:w="60"/>
              <w:left w:type="dxa" w:w="120"/>
              <w:bottom w:type="dxa" w:w="30"/>
              <w:right w:type="dxa" w:w="120"/>
            </w:tcMar>
          </w:tcPr>
          <w:p>
            <w:pPr>
              <w:spacing w:before="120" w:after="120" w:line="288" w:lineRule="auto"/>
              <w:ind w:left="0"/>
              <w:jc w:val="center"/>
            </w:pPr>
          </w:p>
        </w:tc>
        <w:tc>
          <w:tcPr>
            <w:tcW w:w="30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Go Live Check In</w:t>
            </w:r>
          </w:p>
        </w:tc>
        <w:tc>
          <w:tcPr>
            <w:tcW w:w="1500" w:type="dxa"/>
            <w:hMerge w:val="continue"/>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Scenario</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SF Link</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   Scenario</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SF Link</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F&amp;B: </w:t>
            </w:r>
            <w:hyperlink r:id="rId6">
              <w:r>
                <w:rPr>
                  <w:rFonts w:eastAsia="等线" w:ascii="Arial" w:cs="Arial" w:hAnsi="Arial"/>
                  <w:color w:val="3370ff"/>
                  <w:sz w:val="22"/>
                  <w:u w:val="single"/>
                </w:rPr>
                <w:t>Link</w:t>
              </w:r>
            </w:hyperlink>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F&amp;B: </w:t>
            </w:r>
            <w:hyperlink r:id="rId7">
              <w:r>
                <w:rPr>
                  <w:rFonts w:eastAsia="等线" w:ascii="Arial" w:cs="Arial" w:hAnsi="Arial"/>
                  <w:color w:val="3370ff"/>
                  <w:sz w:val="22"/>
                  <w:u w:val="single"/>
                </w:rPr>
                <w:t>Link</w:t>
              </w:r>
            </w:hyperlink>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Retail: </w:t>
            </w:r>
            <w:hyperlink r:id="rId8">
              <w:r>
                <w:rPr>
                  <w:rFonts w:eastAsia="等线" w:ascii="Arial" w:cs="Arial" w:hAnsi="Arial"/>
                  <w:color w:val="3370ff"/>
                  <w:sz w:val="22"/>
                  <w:u w:val="single"/>
                </w:rPr>
                <w:t>Link</w:t>
              </w:r>
            </w:hyperlink>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Retail: </w:t>
            </w:r>
            <w:hyperlink r:id="rId9">
              <w:r>
                <w:rPr>
                  <w:rFonts w:eastAsia="等线" w:ascii="Arial" w:cs="Arial" w:hAnsi="Arial"/>
                  <w:color w:val="3370ff"/>
                  <w:sz w:val="22"/>
                </w:rPr>
                <w:t>Link</w:t>
              </w:r>
            </w:hyperlink>
          </w:p>
        </w:tc>
      </w:tr>
    </w:tbl>
    <w:p>
      <w:pPr>
        <w:numPr>
          <w:numId w:val="3"/>
        </w:numPr>
        <w:spacing w:before="120" w:after="120" w:line="288" w:lineRule="auto"/>
        <w:ind w:left="0"/>
        <w:jc w:val="left"/>
      </w:pPr>
      <w:r>
        <w:rPr>
          <w:rFonts w:eastAsia="等线" w:ascii="Arial" w:cs="Arial" w:hAnsi="Arial"/>
          <w:sz w:val="22"/>
        </w:rPr>
        <w:t>Your task? Nail the call flow, ask the right questions, and ensure the merchant feels supported.</w:t>
      </w:r>
    </w:p>
    <w:p>
      <w:pPr>
        <w:spacing w:before="120" w:after="120" w:line="288" w:lineRule="auto"/>
        <w:ind w:left="0"/>
        <w:jc w:val="center"/>
      </w:pPr>
      <w:r>
        <w:drawing>
          <wp:inline distT="0" distR="0" distB="0" distL="0">
            <wp:extent cx="5257800" cy="1847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0"/>
                    <a:stretch>
                      <a:fillRect/>
                    </a:stretch>
                  </pic:blipFill>
                  <pic:spPr>
                    <a:xfrm>
                      <a:off x="0" y="0"/>
                      <a:ext cx="5257800" cy="1847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b w:val="true"/>
          <w:sz w:val="22"/>
        </w:rPr>
        <w:t>Training Assessment (F&amp;B and Retail)</w:t>
      </w:r>
    </w:p>
    <w:p>
      <w:pPr>
        <w:numPr>
          <w:numId w:val="5"/>
        </w:numPr>
        <w:spacing w:before="120" w:after="120" w:line="288" w:lineRule="auto"/>
        <w:ind w:left="453"/>
        <w:jc w:val="left"/>
      </w:pPr>
      <w:r>
        <w:rPr>
          <w:rFonts w:eastAsia="等线" w:ascii="Arial" w:cs="Arial" w:hAnsi="Arial"/>
          <w:sz w:val="22"/>
        </w:rPr>
        <w:t xml:space="preserve">It’s showtime for your </w:t>
      </w:r>
      <w:r>
        <w:rPr>
          <w:rFonts w:eastAsia="等线" w:ascii="Arial" w:cs="Arial" w:hAnsi="Arial"/>
          <w:b w:val="true"/>
          <w:sz w:val="22"/>
        </w:rPr>
        <w:t>training skills</w:t>
      </w:r>
      <w:r>
        <w:rPr>
          <w:rFonts w:eastAsia="等线" w:ascii="Arial" w:cs="Arial" w:hAnsi="Arial"/>
          <w:sz w:val="22"/>
        </w:rPr>
        <w:t>!</w:t>
      </w:r>
    </w:p>
    <w:p>
      <w:pPr>
        <w:numPr>
          <w:numId w:val="6"/>
        </w:numPr>
        <w:spacing w:before="120" w:after="120" w:line="288" w:lineRule="auto"/>
        <w:ind w:left="453"/>
        <w:jc w:val="left"/>
      </w:pPr>
      <w:r>
        <w:rPr>
          <w:rFonts w:eastAsia="等线" w:ascii="Arial" w:cs="Arial" w:hAnsi="Arial"/>
          <w:sz w:val="22"/>
        </w:rPr>
        <w:t xml:space="preserve">You’ll deliver a full onboarding training session (for F&amp;B and Retail) to your coach. Don’t worry, you’ll get a </w:t>
      </w:r>
      <w:hyperlink r:id="rId11">
        <w:r>
          <w:rPr>
            <w:rFonts w:eastAsia="等线" w:ascii="Arial" w:cs="Arial" w:hAnsi="Arial"/>
            <w:b w:val="true"/>
            <w:color w:val="3370ff"/>
            <w:sz w:val="22"/>
          </w:rPr>
          <w:t>checklist</w:t>
        </w:r>
      </w:hyperlink>
      <w:r>
        <w:rPr>
          <w:rFonts w:eastAsia="等线" w:ascii="Arial" w:cs="Arial" w:hAnsi="Arial"/>
          <w:sz w:val="22"/>
        </w:rPr>
        <w:t xml:space="preserve"> to guide you step by step.</w:t>
      </w:r>
    </w:p>
    <w:p>
      <w:pPr>
        <w:spacing w:before="120" w:after="120" w:line="288" w:lineRule="auto"/>
        <w:ind w:left="453"/>
        <w:jc w:val="left"/>
      </w:pPr>
    </w:p>
    <w:p>
      <w:pPr>
        <w:spacing w:before="120" w:after="120" w:line="288" w:lineRule="auto"/>
        <w:ind w:left="453"/>
        <w:jc w:val="center"/>
      </w:pPr>
      <w:r>
        <w:drawing>
          <wp:inline distT="0" distR="0" distB="0" distL="0">
            <wp:extent cx="5257800" cy="2743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2"/>
                    <a:stretch>
                      <a:fillRect/>
                    </a:stretch>
                  </pic:blipFill>
                  <pic:spPr>
                    <a:xfrm>
                      <a:off x="0" y="0"/>
                      <a:ext cx="5257800" cy="2743200"/>
                    </a:xfrm>
                    <a:prstGeom prst="rect">
                      <a:avLst/>
                    </a:prstGeom>
                  </pic:spPr>
                </pic:pic>
              </a:graphicData>
            </a:graphic>
          </wp:inline>
        </w:drawing>
      </w:r>
    </w:p>
    <w:p>
      <w:pPr>
        <w:spacing w:before="120" w:after="120" w:line="288" w:lineRule="auto"/>
        <w:ind w:left="453"/>
        <w:jc w:val="left"/>
      </w:pPr>
    </w:p>
    <w:p>
      <w:pPr>
        <w:spacing w:before="120" w:after="120" w:line="288" w:lineRule="auto"/>
        <w:ind w:left="453"/>
        <w:jc w:val="left"/>
      </w:pPr>
      <w:r>
        <w:rPr>
          <w:rFonts w:eastAsia="等线" w:ascii="Arial" w:cs="Arial" w:hAnsi="Arial"/>
          <w:sz w:val="22"/>
        </w:rPr>
        <w:t>Remember: clarity, confidence, and making it engaging are your best friends here.</w:t>
      </w:r>
    </w:p>
    <w:p>
      <w:pPr>
        <w:spacing w:before="120" w:after="120" w:line="288" w:lineRule="auto"/>
        <w:ind w:left="453"/>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b w:val="true"/>
          <w:color w:val="de7802"/>
          <w:sz w:val="30"/>
        </w:rPr>
        <w:t>Scoring System 📝</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By the end of the Mock Test, your coach will average your scores from all 4 rounds. This score is the final checkpoint to prove you’re ready to hit the ground running with merchants!</w:t>
      </w:r>
    </w:p>
    <w:p>
      <w:pPr>
        <w:spacing w:before="120" w:after="120" w:line="288" w:lineRule="auto"/>
        <w:ind w:left="0"/>
        <w:jc w:val="left"/>
      </w:pPr>
    </w:p>
    <w:p>
      <w:pPr>
        <w:spacing w:before="120" w:after="120" w:line="288" w:lineRule="auto"/>
        <w:ind w:left="0"/>
        <w:jc w:val="center"/>
      </w:pPr>
      <w:r>
        <w:drawing>
          <wp:inline distT="0" distR="0" distB="0" distL="0">
            <wp:extent cx="5257800" cy="26765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3"/>
                    <a:stretch>
                      <a:fillRect/>
                    </a:stretch>
                  </pic:blipFill>
                  <pic:spPr>
                    <a:xfrm>
                      <a:off x="0" y="0"/>
                      <a:ext cx="5257800" cy="2676525"/>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Pro Tip:</w:t>
      </w:r>
    </w:p>
    <w:p>
      <w:pPr>
        <w:spacing w:before="120" w:after="120" w:line="288" w:lineRule="auto"/>
        <w:ind w:left="0"/>
        <w:jc w:val="left"/>
      </w:pPr>
      <w:r>
        <w:rPr>
          <w:rFonts w:eastAsia="等线" w:ascii="Arial" w:cs="Arial" w:hAnsi="Arial"/>
          <w:sz w:val="22"/>
        </w:rPr>
        <w:br/>
      </w:r>
      <w:r>
        <w:rPr>
          <w:rFonts w:eastAsia="等线" w:ascii="Arial" w:cs="Arial" w:hAnsi="Arial"/>
          <w:sz w:val="22"/>
        </w:rPr>
        <w:t>Treat every round like a dress rehearsal for the real thing. Prep your scripts, polish your product knowledge, and bring out those soft skills to shine. The more you practice, the more confident and natural you’ll sound.</w:t>
      </w:r>
    </w:p>
    <w:p>
      <w:pPr>
        <w:spacing w:before="120" w:after="120" w:line="288" w:lineRule="auto"/>
        <w:ind w:left="0"/>
        <w:jc w:val="left"/>
      </w:pPr>
    </w:p>
    <w:p>
      <w:pPr>
        <w:spacing w:before="120" w:after="120" w:line="288" w:lineRule="auto"/>
        <w:ind w:left="0"/>
        <w:jc w:val="left"/>
      </w:pPr>
      <w:r>
        <w:rPr>
          <w:rFonts w:eastAsia="等线" w:ascii="Arial" w:cs="Arial" w:hAnsi="Arial"/>
          <w:sz w:val="22"/>
        </w:rPr>
        <w:t>Go out there and crush it! You’ve got this! 🚀</w:t>
      </w: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430"/>
        <w:gridCol w:w="228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Player</w:t>
            </w:r>
          </w:p>
        </w:tc>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Mock Type</w:t>
            </w: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Assessment Type</w:t>
            </w:r>
          </w:p>
        </w:tc>
      </w:tr>
      <w:tr>
        <w:tc>
          <w:tcPr>
            <w:tcW w:w="15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Lyn</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Welcome Call</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F&amp;B: </w:t>
            </w:r>
            <w:hyperlink r:id="rId14">
              <w:r>
                <w:rPr>
                  <w:rFonts w:eastAsia="等线" w:ascii="Arial" w:cs="Arial" w:hAnsi="Arial"/>
                  <w:color w:val="3370ff"/>
                  <w:sz w:val="22"/>
                  <w:u w:val="single"/>
                </w:rPr>
                <w:t>Link</w:t>
              </w:r>
            </w:hyperlink>
          </w:p>
        </w:tc>
      </w:tr>
      <w:tr>
        <w:tc>
          <w:tcPr>
            <w:tcW w:w="1500" w:type="dxa"/>
            <w:vMerge w:val="continue"/>
            <w:tcMar>
              <w:top w:type="dxa" w:w="60"/>
              <w:left w:type="dxa" w:w="120"/>
              <w:bottom w:type="dxa" w:w="30"/>
              <w:right w:type="dxa" w:w="120"/>
            </w:tcMar>
          </w:tcPr>
          <w:p>
            <w:pPr>
              <w:spacing w:before="120" w:after="120" w:line="288" w:lineRule="auto"/>
              <w:ind w:left="0"/>
              <w:jc w:val="center"/>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 Live</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F&amp;B: </w:t>
            </w:r>
            <w:hyperlink r:id="rId15">
              <w:r>
                <w:rPr>
                  <w:rFonts w:eastAsia="等线" w:ascii="Arial" w:cs="Arial" w:hAnsi="Arial"/>
                  <w:color w:val="3370ff"/>
                  <w:sz w:val="22"/>
                  <w:u w:val="single"/>
                </w:rPr>
                <w:t>Link</w:t>
              </w:r>
            </w:hyperlink>
          </w:p>
        </w:tc>
      </w:tr>
      <w:tr>
        <w:tc>
          <w:tcPr>
            <w:tcW w:w="1500" w:type="dxa"/>
            <w:vMerge w:val="continue"/>
            <w:tcMar>
              <w:top w:type="dxa" w:w="60"/>
              <w:left w:type="dxa" w:w="120"/>
              <w:bottom w:type="dxa" w:w="30"/>
              <w:right w:type="dxa" w:w="120"/>
            </w:tcMar>
          </w:tcPr>
          <w:p>
            <w:pPr>
              <w:spacing w:before="120" w:after="120" w:line="288" w:lineRule="auto"/>
              <w:ind w:left="0"/>
              <w:jc w:val="center"/>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F&amp;B - Training assessment</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p>
            <w:pPr>
              <w:spacing w:before="120" w:after="120" w:line="288" w:lineRule="auto"/>
              <w:ind w:left="0"/>
              <w:jc w:val="left"/>
            </w:pPr>
          </w:p>
          <w:p>
            <w:pPr>
              <w:spacing w:before="120" w:after="120" w:line="288" w:lineRule="auto"/>
              <w:ind w:left="0"/>
              <w:jc w:val="center"/>
            </w:pPr>
            <w:r>
              <w:drawing>
                <wp:inline distT="0" distR="0" distB="0" distL="0">
                  <wp:extent cx="1295400" cy="7048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6"/>
                          <a:stretch>
                            <a:fillRect/>
                          </a:stretch>
                        </pic:blipFill>
                        <pic:spPr>
                          <a:xfrm>
                            <a:off x="0" y="0"/>
                            <a:ext cx="1295400" cy="704850"/>
                          </a:xfrm>
                          <a:prstGeom prst="rect">
                            <a:avLst/>
                          </a:prstGeom>
                        </pic:spPr>
                      </pic:pic>
                    </a:graphicData>
                  </a:graphic>
                </wp:inline>
              </w:drawing>
            </w:r>
          </w:p>
          <w:p>
            <w:pPr>
              <w:spacing w:before="120" w:after="120" w:line="288" w:lineRule="auto"/>
              <w:ind w:left="0"/>
              <w:jc w:val="left"/>
            </w:pPr>
          </w:p>
        </w:tc>
      </w:tr>
      <w:tr>
        <w:tc>
          <w:tcPr>
            <w:tcW w:w="1500" w:type="dxa"/>
            <w:vMerge w:val="continue"/>
            <w:tcMar>
              <w:top w:type="dxa" w:w="60"/>
              <w:left w:type="dxa" w:w="120"/>
              <w:bottom w:type="dxa" w:w="30"/>
              <w:right w:type="dxa" w:w="120"/>
            </w:tcMar>
          </w:tcPr>
          <w:p>
            <w:pPr>
              <w:spacing w:before="120" w:after="120" w:line="288" w:lineRule="auto"/>
              <w:ind w:left="0"/>
              <w:jc w:val="center"/>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Retail - Training Asessment</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p>
            <w:pPr>
              <w:spacing w:before="120" w:after="120" w:line="288" w:lineRule="auto"/>
              <w:ind w:left="0"/>
              <w:jc w:val="center"/>
            </w:pPr>
            <w:r>
              <w:drawing>
                <wp:inline distT="0" distR="0" distB="0" distL="0">
                  <wp:extent cx="1295400" cy="7048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7"/>
                          <a:stretch>
                            <a:fillRect/>
                          </a:stretch>
                        </pic:blipFill>
                        <pic:spPr>
                          <a:xfrm>
                            <a:off x="0" y="0"/>
                            <a:ext cx="1295400" cy="704850"/>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0216">
    <w:lvl>
      <w:start w:val="1"/>
      <w:numFmt w:val="decimal"/>
      <w:suff w:val="tab"/>
      <w:lvlText w:val="%1."/>
      <w:rPr>
        <w:color w:val="3370ff"/>
      </w:rPr>
    </w:lvl>
  </w:abstractNum>
  <w:abstractNum w:abstractNumId="60217">
    <w:lvl>
      <w:numFmt w:val="bullet"/>
      <w:suff w:val="tab"/>
      <w:lvlText w:val="￮"/>
      <w:rPr>
        <w:color w:val="3370ff"/>
      </w:rPr>
    </w:lvl>
  </w:abstractNum>
  <w:abstractNum w:abstractNumId="60218">
    <w:lvl>
      <w:numFmt w:val="bullet"/>
      <w:suff w:val="tab"/>
      <w:lvlText w:val="•"/>
      <w:rPr>
        <w:color w:val="3370ff"/>
      </w:rPr>
    </w:lvl>
  </w:abstractNum>
  <w:abstractNum w:abstractNumId="60219">
    <w:lvl>
      <w:start w:val="2"/>
      <w:numFmt w:val="decimal"/>
      <w:suff w:val="tab"/>
      <w:lvlText w:val="%1."/>
      <w:rPr>
        <w:color w:val="3370ff"/>
      </w:rPr>
    </w:lvl>
  </w:abstractNum>
  <w:abstractNum w:abstractNumId="60220">
    <w:lvl>
      <w:numFmt w:val="bullet"/>
      <w:suff w:val="tab"/>
      <w:lvlText w:val="￮"/>
      <w:rPr>
        <w:color w:val="3370ff"/>
      </w:rPr>
    </w:lvl>
  </w:abstractNum>
  <w:abstractNum w:abstractNumId="60221">
    <w:lvl>
      <w:numFmt w:val="bullet"/>
      <w:suff w:val="tab"/>
      <w:lvlText w:val="￮"/>
      <w:rPr>
        <w:color w:val="3370ff"/>
      </w:rPr>
    </w:lvl>
  </w:abstractNum>
  <w:num w:numId="1">
    <w:abstractNumId w:val="60216"/>
  </w:num>
  <w:num w:numId="2">
    <w:abstractNumId w:val="60217"/>
  </w:num>
  <w:num w:numId="3">
    <w:abstractNumId w:val="60218"/>
  </w:num>
  <w:num w:numId="4">
    <w:abstractNumId w:val="60219"/>
  </w:num>
  <w:num w:numId="5">
    <w:abstractNumId w:val="60220"/>
  </w:num>
  <w:num w:numId="6">
    <w:abstractNumId w:val="6022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1.png" Type="http://schemas.openxmlformats.org/officeDocument/2006/relationships/image"/><Relationship Id="rId11" Target="https://docs.google.com/spreadsheets/d/1vrovpD8O5wPmC-3c1c-AO8c_UezNGA5nHcXeHkl9k7o/edit?gid=1096393685#gid=1096393685" TargetMode="External" Type="http://schemas.openxmlformats.org/officeDocument/2006/relationships/hyperlink"/><Relationship Id="rId12" Target="media/image2.png" Type="http://schemas.openxmlformats.org/officeDocument/2006/relationships/image"/><Relationship Id="rId13" Target="media/image3.png" Type="http://schemas.openxmlformats.org/officeDocument/2006/relationships/image"/><Relationship Id="rId14" Target="https://storehub.lightning.force.com/lightning/r/Onboarding_Trainer__c/a0yQ9000001RGUkIAO/view" TargetMode="External" Type="http://schemas.openxmlformats.org/officeDocument/2006/relationships/hyperlink"/><Relationship Id="rId15" Target="https://storehub.lightning.force.com/lightning/r/Onboarding_Trainer__c/a0yQ9000001N4S9IAK/view" TargetMode="External" Type="http://schemas.openxmlformats.org/officeDocument/2006/relationships/hyperlink"/><Relationship Id="rId16" Target="media/image4.png" Type="http://schemas.openxmlformats.org/officeDocument/2006/relationships/image"/><Relationship Id="rId17" Target="media/image5.png" Type="http://schemas.openxmlformats.org/officeDocument/2006/relationships/image"/><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storehub.sg.larksuite.com/sheets/IyeIsJaEihb8DUtpYOrlikXlgKd?sheet=6UFNQG" TargetMode="External" Type="http://schemas.openxmlformats.org/officeDocument/2006/relationships/hyperlink"/><Relationship Id="rId5" Target="numbering.xml" Type="http://schemas.openxmlformats.org/officeDocument/2006/relationships/numbering"/><Relationship Id="rId6" Target="https://storehub.lightning.force.com/lightning/r/Onboarding_Trainer__c/a0yQ9000001RGUkIAO/view" TargetMode="External" Type="http://schemas.openxmlformats.org/officeDocument/2006/relationships/hyperlink"/><Relationship Id="rId7" Target="https://storehub.lightning.force.com/lightning/r/Onboarding_Trainer__c/a0yQ9000001N4S9IAK/view" TargetMode="External" Type="http://schemas.openxmlformats.org/officeDocument/2006/relationships/hyperlink"/><Relationship Id="rId8" Target="https://storehub.lightning.force.com/lightning/r/Onboarding_Trainer__c/a0yQ9000001RFSDIA4/view" TargetMode="External" Type="http://schemas.openxmlformats.org/officeDocument/2006/relationships/hyperlink"/><Relationship Id="rId9" Target="https://storehub.lightning.force.com/lightning/r/Onboarding_Trainer__c/a0yQ9000003DF9BIAW/view"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2026-01-09T12:16:21Z</dcterms:created>
  <dc:creator>Apache POI</dc:creator>
</cp:coreProperties>
</file>