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Training</w:t>
      </w:r>
      <w:r>
        <w:rPr>
          <w:rFonts w:eastAsia="等线" w:ascii="Arial" w:cs="Arial" w:hAnsi="Arial"/>
          <w:b w:val="true"/>
          <w:sz w:val="52"/>
        </w:rPr>
        <w:t xml:space="preserve"> Slides &amp; Assessment Prep </w:t>
      </w:r>
    </w:p>
    <w:p>
      <w:pPr>
        <w:spacing w:before="120" w:after="120" w:line="288" w:lineRule="auto"/>
        <w:ind w:left="0"/>
        <w:jc w:val="center"/>
      </w:pPr>
      <w:r>
        <w:drawing>
          <wp:inline distT="0" distR="0" distB="0" distL="0">
            <wp:extent cx="4876800" cy="4876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876800" cy="4876800"/>
                    </a:xfrm>
                    <a:prstGeom prst="rect">
                      <a:avLst/>
                    </a:prstGeom>
                  </pic:spPr>
                </pic:pic>
              </a:graphicData>
            </a:graphic>
          </wp:inline>
        </w:drawing>
      </w:r>
    </w:p>
    <w:p>
      <w:pPr>
        <w:pStyle w:val="3"/>
        <w:spacing w:before="300" w:after="120" w:line="288" w:lineRule="auto"/>
        <w:ind w:left="0"/>
        <w:jc w:val="left"/>
        <w:outlineLvl w:val="2"/>
      </w:pPr>
      <w:bookmarkStart w:name="heading_0" w:id="0"/>
      <w:r>
        <w:rPr>
          <w:rFonts w:eastAsia="等线" w:ascii="Arial" w:cs="Arial" w:hAnsi="Arial"/>
          <w:b w:val="true"/>
          <w:color w:val="de7802"/>
          <w:sz w:val="30"/>
        </w:rPr>
        <w:t>Training Deck Deep Dive &amp; Assessments 🎓</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Time to step into the shoes of an Onboarding Consultant and get cozy with the decks they use to guide our merchants. You've got 1 hour and 30 minutes to dive into the training materials, so grab your favorite beverage and let's get to it!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color w:val="de7802"/>
          <w:sz w:val="30"/>
        </w:rPr>
        <w:t>What’s This About?</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These training decks are designed to:</w:t>
        <w:br/>
      </w:r>
      <w:r>
        <w:rPr>
          <w:rFonts w:eastAsia="等线" w:ascii="Arial" w:cs="Arial" w:hAnsi="Arial"/>
          <w:sz w:val="22"/>
        </w:rPr>
        <w:t xml:space="preserve">✅ Teach merchants how to navigate the </w:t>
      </w:r>
      <w:r>
        <w:rPr>
          <w:rFonts w:eastAsia="等线" w:ascii="Arial" w:cs="Arial" w:hAnsi="Arial"/>
          <w:b w:val="true"/>
          <w:sz w:val="22"/>
        </w:rPr>
        <w:t>BackOffice</w:t>
      </w:r>
      <w:r>
        <w:rPr>
          <w:rFonts w:eastAsia="等线" w:ascii="Arial" w:cs="Arial" w:hAnsi="Arial"/>
          <w:sz w:val="22"/>
        </w:rPr>
        <w:t xml:space="preserve"> and </w:t>
      </w:r>
      <w:r>
        <w:rPr>
          <w:rFonts w:eastAsia="等线" w:ascii="Arial" w:cs="Arial" w:hAnsi="Arial"/>
          <w:b w:val="true"/>
          <w:sz w:val="22"/>
        </w:rPr>
        <w:t>POS Register</w:t>
      </w:r>
      <w:r>
        <w:rPr>
          <w:rFonts w:eastAsia="等线" w:ascii="Arial" w:cs="Arial" w:hAnsi="Arial"/>
          <w:sz w:val="22"/>
        </w:rPr>
        <w:t xml:space="preserve"> like pros.</w:t>
        <w:br/>
      </w:r>
      <w:r>
        <w:rPr>
          <w:rFonts w:eastAsia="等线" w:ascii="Arial" w:cs="Arial" w:hAnsi="Arial"/>
          <w:sz w:val="22"/>
        </w:rPr>
        <w:t>✅ Ensure they’re confident and ready before going live with StoreHub.</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color w:val="de7802"/>
          <w:sz w:val="30"/>
        </w:rPr>
        <w:t>What You’ll Do:</w:t>
      </w:r>
      <w:bookmarkEnd w:id="2"/>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color w:val="245bdb"/>
          <w:sz w:val="22"/>
        </w:rPr>
        <w:t>Master the Decks:</w:t>
      </w:r>
      <w:r>
        <w:rPr>
          <w:rFonts w:eastAsia="等线" w:ascii="Arial" w:cs="Arial" w:hAnsi="Arial"/>
          <w:sz w:val="22"/>
        </w:rPr>
        <w:t>Think of these slides as your secret weapon — by understanding them, you’ll be able to explain, guide, and impress merchants without breaking a sweat.</w:t>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b w:val="true"/>
          <w:color w:val="245bdb"/>
          <w:sz w:val="22"/>
        </w:rPr>
        <w:t xml:space="preserve">Proactively Schedule Training: </w:t>
      </w:r>
      <w:r>
        <w:rPr>
          <w:rFonts w:eastAsia="等线" w:ascii="Arial" w:cs="Arial" w:hAnsi="Arial"/>
          <w:sz w:val="22"/>
        </w:rPr>
        <w:t xml:space="preserve">Once you’ve completed the Welcome Call, don’t wait — ask merchants for their available date and time to schedule their Onboarding Training with our Onboarding Consultants. Timing is everything! </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b w:val="true"/>
          <w:color w:val="245bdb"/>
          <w:sz w:val="22"/>
        </w:rPr>
        <w:t>Spot the Upsell Opportunities:</w:t>
      </w:r>
      <w:r>
        <w:rPr>
          <w:rFonts w:eastAsia="等线" w:ascii="Arial" w:cs="Arial" w:hAnsi="Arial"/>
          <w:b w:val="true"/>
          <w:sz w:val="22"/>
        </w:rPr>
        <w:t xml:space="preserve"> </w:t>
      </w:r>
      <w:r>
        <w:rPr>
          <w:rFonts w:eastAsia="等线" w:ascii="Arial" w:cs="Arial" w:hAnsi="Arial"/>
          <w:sz w:val="22"/>
        </w:rPr>
        <w:t>Pay attention! If you notice a merchant is missing resources or unaware of certain features, this is your chance to upsell and offer solutions that can help their business thrive. Bonus points if you wow them with your product knowledge! 💡</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color w:val="de7802"/>
          <w:sz w:val="30"/>
        </w:rPr>
        <w:t>Why This Matters:</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Understanding the </w:t>
      </w:r>
      <w:r>
        <w:rPr>
          <w:rFonts w:eastAsia="等线" w:ascii="Arial" w:cs="Arial" w:hAnsi="Arial"/>
          <w:b w:val="true"/>
          <w:sz w:val="22"/>
        </w:rPr>
        <w:t>training flow</w:t>
      </w:r>
      <w:r>
        <w:rPr>
          <w:rFonts w:eastAsia="等线" w:ascii="Arial" w:cs="Arial" w:hAnsi="Arial"/>
          <w:sz w:val="22"/>
        </w:rPr>
        <w:t xml:space="preserve"> is key to helping merchants feel confident before they go live. When merchants are prepared and familiar with the system, they’re not just satisfied — they’re </w:t>
      </w:r>
      <w:r>
        <w:rPr>
          <w:rFonts w:eastAsia="等线" w:ascii="Arial" w:cs="Arial" w:hAnsi="Arial"/>
          <w:b w:val="true"/>
          <w:sz w:val="22"/>
        </w:rPr>
        <w:t>excited</w:t>
      </w:r>
      <w:r>
        <w:rPr>
          <w:rFonts w:eastAsia="等线" w:ascii="Arial" w:cs="Arial" w:hAnsi="Arial"/>
          <w:sz w:val="22"/>
        </w:rPr>
        <w:t xml:space="preserve"> to use StoreHub. And when you understand the product well, it’s much easier to spot opportunities to upsell, suggest resources, and provide real value.</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e7802"/>
          <w:sz w:val="22"/>
        </w:rPr>
        <w:t>Pro Tip:</w:t>
      </w:r>
      <w:r>
        <w:rPr>
          <w:rFonts w:eastAsia="等线" w:ascii="Arial" w:cs="Arial" w:hAnsi="Arial"/>
          <w:sz w:val="22"/>
        </w:rPr>
        <w:br/>
      </w:r>
    </w:p>
    <w:p>
      <w:pPr>
        <w:spacing w:before="120" w:after="120" w:line="288" w:lineRule="auto"/>
        <w:ind w:left="0"/>
        <w:jc w:val="left"/>
      </w:pPr>
      <w:r>
        <w:rPr>
          <w:rFonts w:eastAsia="等线" w:ascii="Arial" w:cs="Arial" w:hAnsi="Arial"/>
          <w:sz w:val="22"/>
        </w:rPr>
        <w:t>Take notes, ask questions, and make this training deck your new BFF. The better you know it, the smoother your conversations with merchants will be. Who knows? You might just discover your inner onboarding superstar. 🌟</w:t>
      </w:r>
    </w:p>
    <w:p>
      <w:pPr>
        <w:spacing w:before="120" w:after="120" w:line="288" w:lineRule="auto"/>
        <w:ind w:left="0"/>
        <w:jc w:val="left"/>
      </w:pPr>
      <w:r>
        <w:rPr>
          <w:rFonts w:eastAsia="等线" w:ascii="Arial" w:cs="Arial" w:hAnsi="Arial"/>
          <w:sz w:val="22"/>
        </w:rPr>
        <w:t>Let’s get learning — the merchants are counting on you!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color w:val="de7802"/>
          <w:sz w:val="30"/>
        </w:rPr>
        <w:t>Step 1: Learn from the Masters</w:t>
      </w:r>
      <w:r>
        <w:rPr>
          <w:rFonts w:eastAsia="等线" w:ascii="Arial" w:cs="Arial" w:hAnsi="Arial"/>
          <w:b w:val="true"/>
          <w:color w:val="de7802"/>
          <w:sz w:val="30"/>
        </w:rPr>
        <w:t xml:space="preserve"> 🏆</w:t>
      </w:r>
      <w:bookmarkEnd w:id="4"/>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sz w:val="22"/>
        </w:rPr>
        <w:t>Begin by watching video samples of your seniors in action.</w:t>
      </w:r>
    </w:p>
    <w:p>
      <w:pPr>
        <w:numPr>
          <w:numId w:val="5"/>
        </w:numPr>
        <w:spacing w:before="120" w:after="120" w:line="288" w:lineRule="auto"/>
        <w:ind w:left="0"/>
        <w:jc w:val="left"/>
      </w:pPr>
      <w:r>
        <w:rPr>
          <w:rFonts w:eastAsia="等线" w:ascii="Arial" w:cs="Arial" w:hAnsi="Arial"/>
          <w:sz w:val="22"/>
        </w:rPr>
        <w:t>Observe how they ace merchant training—teaching merchants to navigate the system with ease and confidence.</w:t>
      </w:r>
    </w:p>
    <w:p>
      <w:pPr>
        <w:numPr>
          <w:numId w:val="6"/>
        </w:numPr>
        <w:spacing w:before="120" w:after="120" w:line="288" w:lineRule="auto"/>
        <w:ind w:left="0"/>
        <w:jc w:val="left"/>
      </w:pPr>
      <w:r>
        <w:rPr>
          <w:rFonts w:eastAsia="等线" w:ascii="Arial" w:cs="Arial" w:hAnsi="Arial"/>
          <w:sz w:val="22"/>
        </w:rPr>
        <w:t>While you watch and read through the deck, take your own notes. Trust us, these notes will be your best friend later when you’re tested.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Video Samples: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6425d0"/>
                <w:sz w:val="22"/>
              </w:rPr>
              <w:t>Country</w:t>
            </w:r>
          </w:p>
        </w:tc>
        <w:tc>
          <w:tcPr>
            <w:tcW w:w="30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6425d0"/>
                <w:sz w:val="22"/>
              </w:rPr>
              <w:t>Deck</w:t>
            </w:r>
          </w:p>
        </w:tc>
        <w:tc>
          <w:tcPr>
            <w:tcW w:w="1500" w:type="dxa"/>
            <w:hMerge w:val="continue"/>
            <w:tcMar>
              <w:top w:type="dxa" w:w="60"/>
              <w:left w:type="dxa" w:w="120"/>
              <w:bottom w:type="dxa" w:w="30"/>
              <w:right w:type="dxa" w:w="120"/>
            </w:tcMar>
          </w:tcPr>
          <w:p>
            <w:pPr>
              <w:spacing w:before="120" w:after="120" w:line="288" w:lineRule="auto"/>
              <w:ind w:left="0"/>
              <w:jc w:val="center"/>
            </w:pPr>
          </w:p>
        </w:tc>
        <w:tc>
          <w:tcPr>
            <w:tcW w:w="30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6425d0"/>
                <w:sz w:val="22"/>
              </w:rPr>
              <w:t>Video</w:t>
            </w:r>
          </w:p>
        </w:tc>
        <w:tc>
          <w:tcPr>
            <w:tcW w:w="1500" w:type="dxa"/>
            <w:hMerge w:val="continue"/>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MY</w:t>
            </w:r>
          </w:p>
        </w:tc>
        <w:tc>
          <w:tcPr>
            <w:tcW w:w="1500" w:type="dxa"/>
            <w:tcMar>
              <w:top w:type="dxa" w:w="60"/>
              <w:left w:type="dxa" w:w="120"/>
              <w:bottom w:type="dxa" w:w="30"/>
              <w:right w:type="dxa" w:w="120"/>
            </w:tcMar>
          </w:tcPr>
          <w:p>
            <w:pPr>
              <w:spacing w:before="120" w:after="120" w:line="288" w:lineRule="auto"/>
              <w:ind w:left="0"/>
              <w:jc w:val="center"/>
            </w:pPr>
            <w:hyperlink r:id="rId6">
              <w:r>
                <w:rPr>
                  <w:rFonts w:eastAsia="等线" w:ascii="Arial" w:cs="Arial" w:hAnsi="Arial"/>
                  <w:color w:val="3370ff"/>
                  <w:sz w:val="22"/>
                </w:rPr>
                <w:t>F&amp;B</w:t>
              </w:r>
            </w:hyperlink>
          </w:p>
        </w:tc>
        <w:tc>
          <w:tcPr>
            <w:tcW w:w="1500" w:type="dxa"/>
            <w:tcMar>
              <w:top w:type="dxa" w:w="60"/>
              <w:left w:type="dxa" w:w="120"/>
              <w:bottom w:type="dxa" w:w="30"/>
              <w:right w:type="dxa" w:w="120"/>
            </w:tcMar>
          </w:tcPr>
          <w:p>
            <w:pPr>
              <w:spacing w:before="120" w:after="120" w:line="288" w:lineRule="auto"/>
              <w:ind w:left="0"/>
              <w:jc w:val="center"/>
            </w:pPr>
            <w:hyperlink r:id="rId7">
              <w:r>
                <w:rPr>
                  <w:rFonts w:eastAsia="等线" w:ascii="Arial" w:cs="Arial" w:hAnsi="Arial"/>
                  <w:color w:val="3370ff"/>
                  <w:sz w:val="22"/>
                </w:rPr>
                <w:t>Retail</w:t>
              </w:r>
            </w:hyperlink>
          </w:p>
        </w:tc>
        <w:tc>
          <w:tcPr>
            <w:tcW w:w="1500"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CN Version</w:t>
              </w:r>
            </w:hyperlink>
          </w:p>
        </w:tc>
        <w:tc>
          <w:tcPr>
            <w:tcW w:w="1500"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rPr>
                <w:t>EN Version</w:t>
              </w:r>
            </w:hyperlink>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PH</w:t>
            </w:r>
          </w:p>
        </w:tc>
        <w:tc>
          <w:tcPr>
            <w:tcW w:w="3000" w:type="dxa"/>
            <w:hMerge w:val="restart"/>
            <w:tcMar>
              <w:top w:type="dxa" w:w="60"/>
              <w:left w:type="dxa" w:w="120"/>
              <w:bottom w:type="dxa" w:w="30"/>
              <w:right w:type="dxa" w:w="120"/>
            </w:tcMar>
          </w:tcPr>
          <w:p>
            <w:pPr>
              <w:spacing w:before="120" w:after="120" w:line="288" w:lineRule="auto"/>
              <w:ind w:left="0"/>
              <w:jc w:val="center"/>
            </w:pPr>
            <w:hyperlink r:id="rId10">
              <w:r>
                <w:rPr>
                  <w:rFonts w:eastAsia="等线" w:ascii="Arial" w:cs="Arial" w:hAnsi="Arial"/>
                  <w:color w:val="3370ff"/>
                  <w:sz w:val="22"/>
                </w:rPr>
                <w:t>Slide</w:t>
              </w:r>
            </w:hyperlink>
          </w:p>
        </w:tc>
        <w:tc>
          <w:tcPr>
            <w:tcW w:w="1500" w:type="dxa"/>
            <w:hMerge w:val="continue"/>
            <w:tcMar>
              <w:top w:type="dxa" w:w="60"/>
              <w:left w:type="dxa" w:w="120"/>
              <w:bottom w:type="dxa" w:w="30"/>
              <w:right w:type="dxa" w:w="120"/>
            </w:tcMar>
          </w:tcPr>
          <w:p>
            <w:pPr>
              <w:spacing w:before="120" w:after="120" w:line="288" w:lineRule="auto"/>
              <w:ind w:left="0"/>
              <w:jc w:val="center"/>
            </w:pPr>
          </w:p>
        </w:tc>
        <w:tc>
          <w:tcPr>
            <w:tcW w:w="3000" w:type="dxa"/>
            <w:hMerge w:val="restart"/>
            <w:tcMar>
              <w:top w:type="dxa" w:w="60"/>
              <w:left w:type="dxa" w:w="120"/>
              <w:bottom w:type="dxa" w:w="30"/>
              <w:right w:type="dxa" w:w="120"/>
            </w:tcMar>
          </w:tcPr>
          <w:p>
            <w:pPr>
              <w:spacing w:before="120" w:after="120" w:line="288" w:lineRule="auto"/>
              <w:ind w:left="0"/>
              <w:jc w:val="center"/>
            </w:pPr>
            <w:hyperlink r:id="rId11">
              <w:r>
                <w:rPr>
                  <w:rFonts w:eastAsia="等线" w:ascii="Arial" w:cs="Arial" w:hAnsi="Arial"/>
                  <w:color w:val="3370ff"/>
                  <w:sz w:val="22"/>
                </w:rPr>
                <w:t>PH Video</w:t>
              </w:r>
            </w:hyperlink>
          </w:p>
        </w:tc>
        <w:tc>
          <w:tcPr>
            <w:tcW w:w="1500" w:type="dxa"/>
            <w:hMerge w:val="continue"/>
            <w:tcMar>
              <w:top w:type="dxa" w:w="60"/>
              <w:left w:type="dxa" w:w="120"/>
              <w:bottom w:type="dxa" w:w="30"/>
              <w:right w:type="dxa" w:w="120"/>
            </w:tcMar>
          </w:tcPr>
          <w:p>
            <w:pPr>
              <w:spacing w:before="120" w:after="120" w:line="288" w:lineRule="auto"/>
              <w:ind w:left="0"/>
              <w:jc w:val="center"/>
            </w:pPr>
          </w:p>
        </w:tc>
      </w:tr>
    </w:tbl>
    <w:p/>
    <w:tbl>
      <w:tblPr>
        <w:tblW w:w="0" w:type="auto"/>
        <w:tblInd w:w="0" w:type="dxa"/>
        <w:tblBorders>
          <w:top w:val="single" w:color="cdb2fa"/>
          <w:left w:val="single" w:color="cdb2fa"/>
          <w:bottom w:val="single" w:color="cdb2fa"/>
          <w:right w:val="single" w:color="cdb2fa"/>
          <w:insideH w:val="single" w:color="cdb2fa"/>
          <w:insideV w:val="single" w:color="cdb2fa"/>
        </w:tblBorders>
        <w:tblLayout w:type="fixed"/>
      </w:tblPr>
      <w:tblGrid>
        <w:gridCol w:w="8280"/>
      </w:tblGrid>
      <w:tr>
        <w:tc>
          <w:tcPr>
            <w:tcW w:w="8280" w:type="dxa"/>
            <w:shd w:color="auto" w:val="clear" w:fill="f0f4ff"/>
            <w:tcMar>
              <w:top w:type="dxa" w:w="60"/>
              <w:left w:type="dxa" w:w="120"/>
              <w:bottom w:type="dxa" w:w="30"/>
              <w:right w:type="dxa" w:w="120"/>
            </w:tcMar>
          </w:tcPr>
          <w:p>
            <w:pPr>
              <w:pStyle w:val="3"/>
              <w:spacing w:before="300" w:after="120" w:line="288" w:lineRule="auto"/>
              <w:ind w:left="0"/>
              <w:jc w:val="left"/>
              <w:outlineLvl w:val="2"/>
            </w:pPr>
            <w:bookmarkStart w:name="heading_5" w:id="5"/>
            <w:r>
              <w:rPr>
                <w:rFonts w:eastAsia="等线" w:ascii="Arial" w:cs="Arial" w:hAnsi="Arial"/>
                <w:b w:val="true"/>
                <w:sz w:val="30"/>
              </w:rPr>
              <w:t>Pro Tip for Watching Videos</w:t>
            </w:r>
            <w:r>
              <w:rPr>
                <w:rFonts w:eastAsia="等线" w:ascii="Arial" w:cs="Arial" w:hAnsi="Arial"/>
                <w:b w:val="true"/>
                <w:sz w:val="30"/>
              </w:rPr>
              <w:t xml:space="preserve"> 🎥💡</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We know the videos might feel a bit lengthy, but don’t worry—you’ve got options!</w:t>
            </w:r>
          </w:p>
          <w:p>
            <w:pPr>
              <w:numPr>
                <w:numId w:val="7"/>
              </w:numPr>
              <w:spacing w:before="120" w:after="120" w:line="288" w:lineRule="auto"/>
              <w:ind w:left="0"/>
              <w:jc w:val="left"/>
            </w:pPr>
            <w:r>
              <w:rPr>
                <w:rFonts w:eastAsia="等线" w:ascii="Arial" w:cs="Arial" w:hAnsi="Arial"/>
                <w:b w:val="true"/>
                <w:sz w:val="22"/>
              </w:rPr>
              <w:t>Speed things up</w:t>
            </w:r>
            <w:r>
              <w:rPr>
                <w:rFonts w:eastAsia="等线" w:ascii="Arial" w:cs="Arial" w:hAnsi="Arial"/>
                <w:sz w:val="22"/>
              </w:rPr>
              <w:t>: Play them at a higher speed to breeze through the content.</w:t>
            </w:r>
          </w:p>
          <w:p>
            <w:pPr>
              <w:numPr>
                <w:numId w:val="8"/>
              </w:numPr>
              <w:spacing w:before="120" w:after="120" w:line="288" w:lineRule="auto"/>
              <w:ind w:left="0"/>
              <w:jc w:val="left"/>
            </w:pPr>
            <w:r>
              <w:rPr>
                <w:rFonts w:eastAsia="等线" w:ascii="Arial" w:cs="Arial" w:hAnsi="Arial"/>
                <w:b w:val="true"/>
                <w:sz w:val="22"/>
              </w:rPr>
              <w:t>Skip</w:t>
            </w:r>
            <w:r>
              <w:rPr>
                <w:rFonts w:eastAsia="等线" w:ascii="Arial" w:cs="Arial" w:hAnsi="Arial"/>
                <w:sz w:val="22"/>
              </w:rPr>
              <w:t xml:space="preserve"> </w:t>
            </w:r>
            <w:r>
              <w:rPr>
                <w:rFonts w:eastAsia="等线" w:ascii="Arial" w:cs="Arial" w:hAnsi="Arial"/>
                <w:b w:val="true"/>
                <w:sz w:val="22"/>
              </w:rPr>
              <w:t>around</w:t>
            </w:r>
            <w:r>
              <w:rPr>
                <w:rFonts w:eastAsia="等线" w:ascii="Arial" w:cs="Arial" w:hAnsi="Arial"/>
                <w:sz w:val="22"/>
              </w:rPr>
              <w:t>: Jump to the sections you need to get the gist of the guide.</w:t>
            </w:r>
          </w:p>
          <w:p>
            <w:pPr>
              <w:spacing w:before="120" w:after="120" w:line="288" w:lineRule="auto"/>
              <w:ind w:left="0"/>
              <w:jc w:val="left"/>
            </w:pPr>
          </w:p>
          <w:p>
            <w:pPr>
              <w:spacing w:before="120" w:after="120" w:line="288" w:lineRule="auto"/>
              <w:ind w:left="0"/>
              <w:jc w:val="left"/>
            </w:pPr>
            <w:r>
              <w:rPr>
                <w:rFonts w:eastAsia="等线" w:ascii="Arial" w:cs="Arial" w:hAnsi="Arial"/>
                <w:sz w:val="22"/>
              </w:rPr>
              <w:t>It’s all about making the most of your time while still getting the key takeaways. Happy watching! 🚀</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color w:val="de7802"/>
          <w:sz w:val="30"/>
        </w:rPr>
        <w:t>Step 2: Put Your Knowledge to the Test</w:t>
      </w:r>
      <w:r>
        <w:rPr>
          <w:rFonts w:eastAsia="等线" w:ascii="Arial" w:cs="Arial" w:hAnsi="Arial"/>
          <w:b w:val="true"/>
          <w:color w:val="de7802"/>
          <w:sz w:val="30"/>
        </w:rPr>
        <w:t xml:space="preserve"> 📝</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Later in the day, you’ll be tested in a mock assessment with your coach. There will be 2 Training Assessments where you’ll showcase your training skills:</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Day 4</w:t>
      </w:r>
      <w:r>
        <w:rPr>
          <w:rFonts w:eastAsia="等线" w:ascii="Arial" w:cs="Arial" w:hAnsi="Arial"/>
          <w:sz w:val="22"/>
        </w:rPr>
        <w:t xml:space="preserve"> | </w:t>
      </w:r>
      <w:r>
        <w:rPr>
          <w:rFonts w:eastAsia="等线" w:ascii="Arial" w:cs="Arial" w:hAnsi="Arial"/>
          <w:b w:val="true"/>
          <w:sz w:val="22"/>
        </w:rPr>
        <w:t>2:30 PM – 3:30 PM</w:t>
      </w:r>
      <w:r>
        <w:rPr>
          <w:rFonts w:eastAsia="等线" w:ascii="Arial" w:cs="Arial" w:hAnsi="Arial"/>
          <w:sz w:val="22"/>
        </w:rPr>
        <w:t xml:space="preserve">: </w:t>
      </w:r>
      <w:r>
        <w:rPr>
          <w:rFonts w:eastAsia="等线" w:ascii="Arial" w:cs="Arial" w:hAnsi="Arial"/>
          <w:b w:val="true"/>
          <w:sz w:val="22"/>
        </w:rPr>
        <w:t>F&amp;B Training Assessment</w:t>
      </w:r>
    </w:p>
    <w:p>
      <w:pPr>
        <w:numPr>
          <w:numId w:val="10"/>
        </w:numPr>
        <w:spacing w:before="120" w:after="120" w:line="288" w:lineRule="auto"/>
        <w:ind w:left="0"/>
        <w:jc w:val="left"/>
      </w:pPr>
      <w:r>
        <w:rPr>
          <w:rFonts w:eastAsia="等线" w:ascii="Arial" w:cs="Arial" w:hAnsi="Arial"/>
          <w:b w:val="true"/>
          <w:sz w:val="22"/>
        </w:rPr>
        <w:t>Day 4</w:t>
      </w:r>
      <w:r>
        <w:rPr>
          <w:rFonts w:eastAsia="等线" w:ascii="Arial" w:cs="Arial" w:hAnsi="Arial"/>
          <w:sz w:val="22"/>
        </w:rPr>
        <w:t xml:space="preserve"> | </w:t>
      </w:r>
      <w:r>
        <w:rPr>
          <w:rFonts w:eastAsia="等线" w:ascii="Arial" w:cs="Arial" w:hAnsi="Arial"/>
          <w:b w:val="true"/>
          <w:sz w:val="22"/>
        </w:rPr>
        <w:t>4:00 PM – 5:00 PM</w:t>
      </w:r>
      <w:r>
        <w:rPr>
          <w:rFonts w:eastAsia="等线" w:ascii="Arial" w:cs="Arial" w:hAnsi="Arial"/>
          <w:sz w:val="22"/>
        </w:rPr>
        <w:t xml:space="preserve">: </w:t>
      </w:r>
      <w:r>
        <w:rPr>
          <w:rFonts w:eastAsia="等线" w:ascii="Arial" w:cs="Arial" w:hAnsi="Arial"/>
          <w:b w:val="true"/>
          <w:sz w:val="22"/>
        </w:rPr>
        <w:t>Retail Training Assessment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Here’s how the assessments will flow:</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rPr>
        <w:t>First 30 minutes</w:t>
      </w:r>
      <w:r>
        <w:rPr>
          <w:rFonts w:eastAsia="等线" w:ascii="Arial" w:cs="Arial" w:hAnsi="Arial"/>
          <w:sz w:val="22"/>
        </w:rPr>
        <w:t>: You’ll conduct a mock training session using the checklist below; provide explanation and teach how to setup and the functions of each feature.</w:t>
      </w:r>
    </w:p>
    <w:p>
      <w:pPr>
        <w:numPr>
          <w:numId w:val="12"/>
        </w:numPr>
        <w:spacing w:before="120" w:after="120" w:line="288" w:lineRule="auto"/>
        <w:ind w:left="0"/>
        <w:jc w:val="left"/>
      </w:pPr>
      <w:r>
        <w:rPr>
          <w:rFonts w:eastAsia="等线" w:ascii="Arial" w:cs="Arial" w:hAnsi="Arial"/>
          <w:b w:val="true"/>
          <w:sz w:val="22"/>
        </w:rPr>
        <w:t>Next 30 minutes</w:t>
      </w:r>
      <w:r>
        <w:rPr>
          <w:rFonts w:eastAsia="等线" w:ascii="Arial" w:cs="Arial" w:hAnsi="Arial"/>
          <w:sz w:val="22"/>
        </w:rPr>
        <w:t>: Your coach will provide feedback on your performance.</w:t>
      </w:r>
    </w:p>
    <w:p>
      <w:pPr>
        <w:spacing w:before="120" w:after="120" w:line="288" w:lineRule="auto"/>
        <w:ind w:left="0"/>
        <w:jc w:val="left"/>
      </w:pP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3" o:title=""/>
          </v:shape>
          <o:OLEObject DrawAspect="Icon" ObjectID="_1718471219" ProgID="Excel.Sheet.12" ShapeID="_x0000_i1025" Type="Embed" r:id="rId1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pPr>
      <w:r>
        <w:object>
          <v:shape id="_x0000_i1026" style="width:414pt;height:197pt;mso-width-percent:0;mso-height-percent:0;mso-width-percent:0;mso-height-percent:0" type="#_x0000_t75" o:ole="">
            <v:imagedata r:id="rId15" o:title=""/>
          </v:shape>
          <o:OLEObject DrawAspect="Icon" ObjectID="_1718471220" ProgID="Excel.Sheet.12" ShapeID="_x0000_i1026" Type="Embed" r:id="rId1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Important Tips for Success</w:t>
      </w:r>
      <w:r>
        <w:rPr>
          <w:rFonts w:eastAsia="等线" w:ascii="Arial" w:cs="Arial" w:hAnsi="Arial"/>
          <w:b w:val="true"/>
          <w:sz w:val="30"/>
        </w:rPr>
        <w:t xml:space="preserve"> 🌟</w:t>
      </w:r>
      <w:bookmarkEnd w:id="7"/>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b w:val="true"/>
          <w:sz w:val="22"/>
        </w:rPr>
        <w:t>No Pressure</w:t>
      </w:r>
      <w:r>
        <w:rPr>
          <w:rFonts w:eastAsia="等线" w:ascii="Arial" w:cs="Arial" w:hAnsi="Arial"/>
          <w:sz w:val="22"/>
        </w:rPr>
        <w:t>: There won’t be a retake if you fail—but no worries, just have fun and stay natural.</w:t>
      </w:r>
    </w:p>
    <w:p>
      <w:pPr>
        <w:numPr>
          <w:numId w:val="14"/>
        </w:numPr>
        <w:spacing w:before="120" w:after="120" w:line="288" w:lineRule="auto"/>
        <w:ind w:left="0"/>
        <w:jc w:val="left"/>
      </w:pPr>
      <w:r>
        <w:rPr>
          <w:rFonts w:eastAsia="等线" w:ascii="Arial" w:cs="Arial" w:hAnsi="Arial"/>
          <w:b w:val="true"/>
          <w:sz w:val="22"/>
        </w:rPr>
        <w:t>Be Engaging</w:t>
      </w:r>
      <w:r>
        <w:rPr>
          <w:rFonts w:eastAsia="等线" w:ascii="Arial" w:cs="Arial" w:hAnsi="Arial"/>
          <w:sz w:val="22"/>
        </w:rPr>
        <w:t>: Treat the session like it’s with real merchants. Smile, connect, and make it enjoyable.</w:t>
      </w:r>
    </w:p>
    <w:p>
      <w:pPr>
        <w:numPr>
          <w:numId w:val="15"/>
        </w:numPr>
        <w:spacing w:before="120" w:after="120" w:line="288" w:lineRule="auto"/>
        <w:ind w:left="0"/>
        <w:jc w:val="left"/>
      </w:pPr>
      <w:r>
        <w:rPr>
          <w:rFonts w:eastAsia="等线" w:ascii="Arial" w:cs="Arial" w:hAnsi="Arial"/>
          <w:b w:val="true"/>
          <w:sz w:val="22"/>
        </w:rPr>
        <w:t>Be Prepared</w:t>
      </w:r>
      <w:r>
        <w:rPr>
          <w:rFonts w:eastAsia="等线" w:ascii="Arial" w:cs="Arial" w:hAnsi="Arial"/>
          <w:sz w:val="22"/>
        </w:rPr>
        <w:t>: Use the provided checklist to ensure you’ve covered all key points during your mock session.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All the best! Remember, this is your time to shine and prove you’ve got what it takes to rock the role. 🚀</w:t>
      </w:r>
    </w:p>
    <w:p>
      <w:pPr>
        <w:spacing w:before="120" w:after="120" w:line="288" w:lineRule="auto"/>
        <w:ind w:left="0"/>
        <w:jc w:val="left"/>
      </w:pP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4140">
    <w:lvl>
      <w:start w:val="1"/>
      <w:numFmt w:val="decimal"/>
      <w:suff w:val="tab"/>
      <w:lvlText w:val="%1."/>
      <w:rPr>
        <w:color w:val="3370ff"/>
      </w:rPr>
    </w:lvl>
  </w:abstractNum>
  <w:abstractNum w:abstractNumId="74141">
    <w:lvl>
      <w:start w:val="2"/>
      <w:numFmt w:val="decimal"/>
      <w:suff w:val="tab"/>
      <w:lvlText w:val="%1."/>
      <w:rPr>
        <w:color w:val="3370ff"/>
      </w:rPr>
    </w:lvl>
  </w:abstractNum>
  <w:abstractNum w:abstractNumId="74142">
    <w:lvl>
      <w:start w:val="3"/>
      <w:numFmt w:val="decimal"/>
      <w:suff w:val="tab"/>
      <w:lvlText w:val="%1."/>
      <w:rPr>
        <w:color w:val="3370ff"/>
      </w:rPr>
    </w:lvl>
  </w:abstractNum>
  <w:abstractNum w:abstractNumId="74143">
    <w:lvl>
      <w:numFmt w:val="bullet"/>
      <w:suff w:val="tab"/>
      <w:lvlText w:val="•"/>
      <w:rPr>
        <w:color w:val="3370ff"/>
      </w:rPr>
    </w:lvl>
  </w:abstractNum>
  <w:abstractNum w:abstractNumId="74144">
    <w:lvl>
      <w:numFmt w:val="bullet"/>
      <w:suff w:val="tab"/>
      <w:lvlText w:val="•"/>
      <w:rPr>
        <w:color w:val="3370ff"/>
      </w:rPr>
    </w:lvl>
  </w:abstractNum>
  <w:abstractNum w:abstractNumId="74145">
    <w:lvl>
      <w:numFmt w:val="bullet"/>
      <w:suff w:val="tab"/>
      <w:lvlText w:val="•"/>
      <w:rPr>
        <w:color w:val="3370ff"/>
      </w:rPr>
    </w:lvl>
  </w:abstractNum>
  <w:abstractNum w:abstractNumId="74146">
    <w:lvl>
      <w:numFmt w:val="bullet"/>
      <w:suff w:val="tab"/>
      <w:lvlText w:val="•"/>
      <w:rPr>
        <w:color w:val="3370ff"/>
      </w:rPr>
    </w:lvl>
  </w:abstractNum>
  <w:abstractNum w:abstractNumId="74147">
    <w:lvl>
      <w:numFmt w:val="bullet"/>
      <w:suff w:val="tab"/>
      <w:lvlText w:val="•"/>
      <w:rPr>
        <w:color w:val="3370ff"/>
      </w:rPr>
    </w:lvl>
  </w:abstractNum>
  <w:abstractNum w:abstractNumId="74148">
    <w:lvl>
      <w:numFmt w:val="bullet"/>
      <w:suff w:val="tab"/>
      <w:lvlText w:val="•"/>
      <w:rPr>
        <w:color w:val="3370ff"/>
      </w:rPr>
    </w:lvl>
  </w:abstractNum>
  <w:abstractNum w:abstractNumId="74149">
    <w:lvl>
      <w:numFmt w:val="bullet"/>
      <w:suff w:val="tab"/>
      <w:lvlText w:val="•"/>
      <w:rPr>
        <w:color w:val="3370ff"/>
      </w:rPr>
    </w:lvl>
  </w:abstractNum>
  <w:abstractNum w:abstractNumId="74150">
    <w:lvl>
      <w:start w:val="1"/>
      <w:numFmt w:val="decimal"/>
      <w:suff w:val="tab"/>
      <w:lvlText w:val="%1."/>
      <w:rPr>
        <w:color w:val="3370ff"/>
      </w:rPr>
    </w:lvl>
  </w:abstractNum>
  <w:abstractNum w:abstractNumId="74151">
    <w:lvl>
      <w:start w:val="2"/>
      <w:numFmt w:val="decimal"/>
      <w:suff w:val="tab"/>
      <w:lvlText w:val="%1."/>
      <w:rPr>
        <w:color w:val="3370ff"/>
      </w:rPr>
    </w:lvl>
  </w:abstractNum>
  <w:abstractNum w:abstractNumId="74152">
    <w:lvl>
      <w:numFmt w:val="bullet"/>
      <w:suff w:val="tab"/>
      <w:lvlText w:val="•"/>
      <w:rPr>
        <w:color w:val="3370ff"/>
      </w:rPr>
    </w:lvl>
  </w:abstractNum>
  <w:abstractNum w:abstractNumId="74153">
    <w:lvl>
      <w:numFmt w:val="bullet"/>
      <w:suff w:val="tab"/>
      <w:lvlText w:val="•"/>
      <w:rPr>
        <w:color w:val="3370ff"/>
      </w:rPr>
    </w:lvl>
  </w:abstractNum>
  <w:abstractNum w:abstractNumId="74154">
    <w:lvl>
      <w:numFmt w:val="bullet"/>
      <w:suff w:val="tab"/>
      <w:lvlText w:val="•"/>
      <w:rPr>
        <w:color w:val="3370ff"/>
      </w:rPr>
    </w:lvl>
  </w:abstractNum>
  <w:num w:numId="1">
    <w:abstractNumId w:val="74140"/>
  </w:num>
  <w:num w:numId="2">
    <w:abstractNumId w:val="74141"/>
  </w:num>
  <w:num w:numId="3">
    <w:abstractNumId w:val="74142"/>
  </w:num>
  <w:num w:numId="4">
    <w:abstractNumId w:val="74143"/>
  </w:num>
  <w:num w:numId="5">
    <w:abstractNumId w:val="74144"/>
  </w:num>
  <w:num w:numId="6">
    <w:abstractNumId w:val="74145"/>
  </w:num>
  <w:num w:numId="7">
    <w:abstractNumId w:val="74146"/>
  </w:num>
  <w:num w:numId="8">
    <w:abstractNumId w:val="74147"/>
  </w:num>
  <w:num w:numId="9">
    <w:abstractNumId w:val="74148"/>
  </w:num>
  <w:num w:numId="10">
    <w:abstractNumId w:val="74149"/>
  </w:num>
  <w:num w:numId="11">
    <w:abstractNumId w:val="74150"/>
  </w:num>
  <w:num w:numId="12">
    <w:abstractNumId w:val="74151"/>
  </w:num>
  <w:num w:numId="13">
    <w:abstractNumId w:val="74152"/>
  </w:num>
  <w:num w:numId="14">
    <w:abstractNumId w:val="74153"/>
  </w:num>
  <w:num w:numId="15">
    <w:abstractNumId w:val="741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rive.google.com/drive/u/0/folders/15-2zwWipbj7SbQnfXfrd_e8WzVFwuqWo" TargetMode="External" Type="http://schemas.openxmlformats.org/officeDocument/2006/relationships/hyperlink"/><Relationship Id="rId11" Target="https://drive.google.com/file/d/1SuqdeUOpVQwzIwh0OeK65hVpMlksBWyZ/view?ts=65e03381" TargetMode="External" Type="http://schemas.openxmlformats.org/officeDocument/2006/relationships/hyperlink"/><Relationship Id="rId12" Target="embeddings/Microsoft_Excel_Worksheet1.xlsx" Type="http://schemas.openxmlformats.org/officeDocument/2006/relationships/package"/><Relationship Id="rId13" Target="media/image2.png" Type="http://schemas.openxmlformats.org/officeDocument/2006/relationships/image"/><Relationship Id="rId14" Target="embeddings/Microsoft_Excel_Worksheet2.xlsx" Type="http://schemas.openxmlformats.org/officeDocument/2006/relationships/package"/><Relationship Id="rId15" Target="media/image3.pn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ttps://docs.google.com/presentation/d/1U-dwU-kC8l-pJ211sBoQQS4jexhtpNCpcqE-4EEjbys/edit#slide=id.g26b7f38cc86_0_2118" TargetMode="External" Type="http://schemas.openxmlformats.org/officeDocument/2006/relationships/hyperlink"/><Relationship Id="rId7" Target="https://docs.google.com/presentation/d/1LJNmEPIxmHbNQGbUWhGwmAkI_L0O6y9D0hoRz_ITUsM/edit#slide=id.p1" TargetMode="External" Type="http://schemas.openxmlformats.org/officeDocument/2006/relationships/hyperlink"/><Relationship Id="rId8" Target="https://drive.google.com/file/d/1d9gq2OuoJ1O-F4y_L6cqnzBWhy-gFNnm/view?resourcekey" TargetMode="External" Type="http://schemas.openxmlformats.org/officeDocument/2006/relationships/hyperlink"/><Relationship Id="rId9" Target="https://drive.google.com/file/d/1K6lZwYw7boYQL9fosVuXyHtJ5ZNEubfa/view?resourcekey"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2026-01-09T12:15:48Z</dcterms:created>
  <dc:creator>Apache POI</dc:creator>
</cp:coreProperties>
</file>