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Welcome Call | Go Live Check in</w:t>
      </w:r>
    </w:p>
    <w:p>
      <w:pPr>
        <w:pStyle w:val="2"/>
        <w:spacing w:before="320" w:after="120" w:line="288" w:lineRule="auto"/>
        <w:ind w:left="0"/>
        <w:jc w:val="left"/>
        <w:outlineLvl w:val="1"/>
      </w:pPr>
      <w:bookmarkStart w:name="heading_0" w:id="0"/>
      <w:r>
        <w:rPr>
          <w:rFonts w:eastAsia="等线" w:ascii="Arial" w:cs="Arial" w:hAnsi="Arial"/>
          <w:b w:val="true"/>
          <w:color w:val="de7802"/>
          <w:sz w:val="32"/>
        </w:rPr>
        <w:t>What is a Welcome Call?</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Ah, the </w:t>
      </w:r>
      <w:r>
        <w:rPr>
          <w:rFonts w:eastAsia="等线" w:ascii="Arial" w:cs="Arial" w:hAnsi="Arial"/>
          <w:i w:val="true"/>
          <w:sz w:val="22"/>
        </w:rPr>
        <w:t>Welcome Call</w:t>
      </w:r>
      <w:r>
        <w:rPr>
          <w:rFonts w:eastAsia="等线" w:ascii="Arial" w:cs="Arial" w:hAnsi="Arial"/>
          <w:sz w:val="22"/>
        </w:rPr>
        <w:t xml:space="preserve"> — think of it as rolling out the red carpet for merchants who’ve just onboarded with StoreHub. 🎉</w:t>
      </w:r>
    </w:p>
    <w:p>
      <w:pPr>
        <w:spacing w:before="120" w:after="120" w:line="288" w:lineRule="auto"/>
        <w:ind w:left="0"/>
        <w:jc w:val="left"/>
      </w:pPr>
      <w:r>
        <w:rPr>
          <w:rFonts w:eastAsia="等线" w:ascii="Arial" w:cs="Arial" w:hAnsi="Arial"/>
          <w:sz w:val="22"/>
        </w:rPr>
        <w:t>Your role? To greet them warmly, make sure they’re equipped with everything they need (and identify what they might still be missing), and offer your stellar assistance to get them off to a smooth start. Basically, you're the friendly guide helping them find their way in the StoreHub universe!</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e7802"/>
          <w:sz w:val="22"/>
        </w:rPr>
        <w:t>Before you dial in like the rockstar you are:</w:t>
      </w:r>
    </w:p>
    <w:p>
      <w:pPr>
        <w:numPr>
          <w:numId w:val="1"/>
        </w:numPr>
        <w:spacing w:before="120" w:after="120" w:line="288" w:lineRule="auto"/>
        <w:ind w:left="0"/>
        <w:jc w:val="left"/>
      </w:pPr>
      <w:r>
        <w:rPr>
          <w:rFonts w:eastAsia="等线" w:ascii="Arial" w:cs="Arial" w:hAnsi="Arial"/>
          <w:sz w:val="22"/>
        </w:rPr>
        <w:t xml:space="preserve">Dive into their </w:t>
      </w:r>
      <w:r>
        <w:rPr>
          <w:rFonts w:eastAsia="等线" w:ascii="Arial" w:cs="Arial" w:hAnsi="Arial"/>
          <w:b w:val="true"/>
          <w:sz w:val="22"/>
        </w:rPr>
        <w:t>Salesforce account</w:t>
      </w:r>
      <w:r>
        <w:rPr>
          <w:rFonts w:eastAsia="等线" w:ascii="Arial" w:cs="Arial" w:hAnsi="Arial"/>
          <w:sz w:val="22"/>
        </w:rPr>
        <w:t>. Understand their profile, their business, and any key details that will help you personalize the call.</w:t>
      </w:r>
    </w:p>
    <w:p>
      <w:pPr>
        <w:numPr>
          <w:numId w:val="2"/>
        </w:numPr>
        <w:spacing w:before="120" w:after="120" w:line="288" w:lineRule="auto"/>
        <w:ind w:left="0"/>
        <w:jc w:val="left"/>
      </w:pPr>
      <w:r>
        <w:rPr>
          <w:rFonts w:eastAsia="等线" w:ascii="Arial" w:cs="Arial" w:hAnsi="Arial"/>
          <w:sz w:val="22"/>
        </w:rPr>
        <w:t>Adjust your script based on the intel you gather — you don’t want to sound like a robot reading off a manual.</w:t>
      </w:r>
    </w:p>
    <w:p>
      <w:pPr>
        <w:numPr>
          <w:numId w:val="3"/>
        </w:numPr>
        <w:spacing w:before="120" w:after="120" w:line="288" w:lineRule="auto"/>
        <w:ind w:left="0"/>
        <w:jc w:val="left"/>
      </w:pPr>
      <w:r>
        <w:rPr>
          <w:rFonts w:eastAsia="等线" w:ascii="Arial" w:cs="Arial" w:hAnsi="Arial"/>
          <w:sz w:val="22"/>
        </w:rPr>
        <w:t xml:space="preserve">Be sharp, prepared, and have all the info at your fingertips — because nothing impresses a merchant more than someone who </w:t>
      </w:r>
      <w:r>
        <w:rPr>
          <w:rFonts w:eastAsia="等线" w:ascii="Arial" w:cs="Arial" w:hAnsi="Arial"/>
          <w:i w:val="true"/>
          <w:sz w:val="22"/>
        </w:rPr>
        <w:t>knows their stuff</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Pro tip</w:t>
      </w:r>
      <w:r>
        <w:rPr>
          <w:rFonts w:eastAsia="等线" w:ascii="Arial" w:cs="Arial" w:hAnsi="Arial"/>
          <w:sz w:val="22"/>
        </w:rPr>
        <w:t xml:space="preserve">: Think of it like meeting someone for the first time — be curious, be helpful, and most importantly, leave them with the confidence that you’re </w:t>
      </w:r>
      <w:r>
        <w:rPr>
          <w:rFonts w:eastAsia="等线" w:ascii="Arial" w:cs="Arial" w:hAnsi="Arial"/>
          <w:i w:val="true"/>
          <w:sz w:val="22"/>
        </w:rPr>
        <w:t>the go-to person</w:t>
      </w:r>
      <w:r>
        <w:rPr>
          <w:rFonts w:eastAsia="等线" w:ascii="Arial" w:cs="Arial" w:hAnsi="Arial"/>
          <w:sz w:val="22"/>
        </w:rPr>
        <w:t xml:space="preserve"> for any questions or hiccups they might encounter. 🚀</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color w:val="de7802"/>
          <w:sz w:val="30"/>
        </w:rPr>
        <w:t>Samples for you to study from our Senior Rockstars</w:t>
      </w:r>
      <w:bookmarkEnd w:id="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b w:val="true"/>
          <w:sz w:val="22"/>
          <w:shd w:fill="ffa53d"/>
        </w:rPr>
        <w:t>Malaysia</w:t>
      </w:r>
      <w:r>
        <w:rPr>
          <w:rFonts w:eastAsia="等线" w:ascii="Arial" w:cs="Arial" w:hAnsi="Arial"/>
          <w:b w:val="true"/>
          <w:sz w:val="22"/>
        </w:rPr>
        <w:t xml:space="preserve"> team, refer table below:</w:t>
      </w:r>
    </w:p>
    <w:p>
      <w:pPr>
        <w:spacing w:before="120" w:after="120" w:line="288" w:lineRule="auto"/>
        <w:ind w:left="0"/>
        <w:jc w:val="left"/>
      </w:pPr>
    </w:p>
    <w:tbl>
      <w:tblPr>
        <w:tblW w:w="0" w:type="auto"/>
        <w:tblInd w:w="0" w:type="dxa"/>
        <w:tblBorders>
          <w:top w:val="single" w:color="cdb2fa"/>
          <w:left w:val="single" w:color="cdb2fa"/>
          <w:bottom w:val="single" w:color="cdb2fa"/>
          <w:right w:val="single" w:color="cdb2fa"/>
          <w:insideH w:val="single" w:color="cdb2fa"/>
          <w:insideV w:val="single" w:color="cdb2fa"/>
        </w:tblBorders>
        <w:tblLayout w:type="fixed"/>
      </w:tblPr>
      <w:tblGrid>
        <w:gridCol w:w="8280"/>
      </w:tblGrid>
      <w:tr>
        <w:tc>
          <w:tcPr>
            <w:tcW w:w="8280" w:type="dxa"/>
            <w:shd w:color="auto" w:val="clear" w:fill="f6f1fe"/>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 xml:space="preserve">: </w:t>
            </w:r>
            <w:hyperlink r:id="rId5">
              <w:r>
                <w:rPr>
                  <w:rFonts w:eastAsia="等线" w:ascii="Arial" w:cs="Arial" w:hAnsi="Arial"/>
                  <w:color w:val="3370ff"/>
                  <w:sz w:val="22"/>
                </w:rPr>
                <w:t>Here</w:t>
              </w:r>
            </w:hyperlink>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1500"/>
        <w:gridCol w:w="2460"/>
      </w:tblGrid>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No.</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SF Account</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Call Recording Links </w:t>
            </w: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hyperlink r:id="rId6">
              <w:r>
                <w:rPr>
                  <w:rFonts w:eastAsia="等线" w:ascii="Arial" w:cs="Arial" w:hAnsi="Arial"/>
                  <w:color w:val="3370ff"/>
                  <w:sz w:val="22"/>
                  <w:u w:val="single"/>
                </w:rPr>
                <w:t>Here</w:t>
              </w:r>
            </w:hyperlink>
          </w:p>
        </w:tc>
        <w:tc>
          <w:tcPr>
            <w:tcW w:w="2460" w:type="dxa"/>
            <w:tcMar>
              <w:top w:type="dxa" w:w="60"/>
              <w:left w:type="dxa" w:w="120"/>
              <w:bottom w:type="dxa" w:w="30"/>
              <w:right w:type="dxa" w:w="120"/>
            </w:tcMar>
          </w:tcPr>
          <w:p>
            <w:pPr>
              <w:spacing w:before="120" w:after="120" w:line="288" w:lineRule="auto"/>
              <w:ind w:left="0"/>
              <w:jc w:val="center"/>
            </w:pPr>
            <w:hyperlink r:id="rId7">
              <w:r>
                <w:rPr>
                  <w:rFonts w:eastAsia="等线" w:ascii="Arial" w:cs="Arial" w:hAnsi="Arial"/>
                  <w:color w:val="3370ff"/>
                  <w:sz w:val="22"/>
                  <w:u w:val="single"/>
                </w:rPr>
                <w:t>Here</w:t>
              </w:r>
            </w:hyperlink>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hyperlink r:id="rId8">
              <w:r>
                <w:rPr>
                  <w:rFonts w:eastAsia="等线" w:ascii="Arial" w:cs="Arial" w:hAnsi="Arial"/>
                  <w:color w:val="3370ff"/>
                  <w:sz w:val="22"/>
                  <w:u w:val="single"/>
                </w:rPr>
                <w:t>Here</w:t>
              </w:r>
            </w:hyperlink>
          </w:p>
        </w:tc>
        <w:tc>
          <w:tcPr>
            <w:tcW w:w="2460" w:type="dxa"/>
            <w:tcMar>
              <w:top w:type="dxa" w:w="60"/>
              <w:left w:type="dxa" w:w="120"/>
              <w:bottom w:type="dxa" w:w="30"/>
              <w:right w:type="dxa" w:w="120"/>
            </w:tcMar>
          </w:tcPr>
          <w:p>
            <w:pPr>
              <w:spacing w:before="120" w:after="120" w:line="288" w:lineRule="auto"/>
              <w:ind w:left="0"/>
              <w:jc w:val="center"/>
            </w:pPr>
            <w:hyperlink r:id="rId9">
              <w:r>
                <w:rPr>
                  <w:rFonts w:eastAsia="等线" w:ascii="Arial" w:cs="Arial" w:hAnsi="Arial"/>
                  <w:color w:val="3370ff"/>
                  <w:sz w:val="22"/>
                  <w:u w:val="single"/>
                </w:rPr>
                <w:t>Here</w:t>
              </w:r>
            </w:hyperlink>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hyperlink r:id="rId10">
              <w:r>
                <w:rPr>
                  <w:rFonts w:eastAsia="等线" w:ascii="Arial" w:cs="Arial" w:hAnsi="Arial"/>
                  <w:color w:val="3370ff"/>
                  <w:sz w:val="22"/>
                  <w:u w:val="single"/>
                </w:rPr>
                <w:t>Here</w:t>
              </w:r>
            </w:hyperlink>
          </w:p>
        </w:tc>
        <w:tc>
          <w:tcPr>
            <w:tcW w:w="2460" w:type="dxa"/>
            <w:tcMar>
              <w:top w:type="dxa" w:w="60"/>
              <w:left w:type="dxa" w:w="120"/>
              <w:bottom w:type="dxa" w:w="30"/>
              <w:right w:type="dxa" w:w="120"/>
            </w:tcMar>
          </w:tcPr>
          <w:p>
            <w:pPr>
              <w:spacing w:before="120" w:after="120" w:line="288" w:lineRule="auto"/>
              <w:ind w:left="0"/>
              <w:jc w:val="center"/>
            </w:pPr>
            <w:hyperlink r:id="rId11">
              <w:r>
                <w:rPr>
                  <w:rFonts w:eastAsia="等线" w:ascii="Arial" w:cs="Arial" w:hAnsi="Arial"/>
                  <w:color w:val="3370ff"/>
                  <w:sz w:val="22"/>
                  <w:u w:val="single"/>
                </w:rPr>
                <w:t>Here</w:t>
              </w:r>
            </w:hyperlink>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hyperlink r:id="rId12">
              <w:r>
                <w:rPr>
                  <w:rFonts w:eastAsia="等线" w:ascii="Arial" w:cs="Arial" w:hAnsi="Arial"/>
                  <w:color w:val="3370ff"/>
                  <w:sz w:val="22"/>
                  <w:u w:val="single"/>
                </w:rPr>
                <w:t>Here</w:t>
              </w:r>
            </w:hyperlink>
          </w:p>
        </w:tc>
        <w:tc>
          <w:tcPr>
            <w:tcW w:w="2460" w:type="dxa"/>
            <w:tcMar>
              <w:top w:type="dxa" w:w="60"/>
              <w:left w:type="dxa" w:w="120"/>
              <w:bottom w:type="dxa" w:w="30"/>
              <w:right w:type="dxa" w:w="120"/>
            </w:tcMar>
          </w:tcPr>
          <w:p>
            <w:pPr>
              <w:spacing w:before="120" w:after="120" w:line="288" w:lineRule="auto"/>
              <w:ind w:left="0"/>
              <w:jc w:val="center"/>
            </w:pPr>
            <w:hyperlink r:id="rId13">
              <w:r>
                <w:rPr>
                  <w:rFonts w:eastAsia="等线" w:ascii="Arial" w:cs="Arial" w:hAnsi="Arial"/>
                  <w:color w:val="3370ff"/>
                  <w:sz w:val="22"/>
                  <w:u w:val="single"/>
                </w:rPr>
                <w:t>Here</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shd w:fill="4e83fd"/>
        </w:rPr>
        <w:t>Philipines</w:t>
      </w:r>
      <w:r>
        <w:rPr>
          <w:rFonts w:eastAsia="等线" w:ascii="Arial" w:cs="Arial" w:hAnsi="Arial"/>
          <w:b w:val="true"/>
          <w:sz w:val="22"/>
        </w:rPr>
        <w:t xml:space="preserve"> team, refer table below:</w:t>
      </w:r>
    </w:p>
    <w:p>
      <w:pPr>
        <w:spacing w:before="120" w:after="120" w:line="288" w:lineRule="auto"/>
        <w:ind w:left="0"/>
        <w:jc w:val="left"/>
      </w:pPr>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ef1f1"/>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 xml:space="preserve">: </w:t>
            </w:r>
            <w:hyperlink r:id="rId14">
              <w:r>
                <w:rPr>
                  <w:rFonts w:eastAsia="等线" w:ascii="Arial" w:cs="Arial" w:hAnsi="Arial"/>
                  <w:color w:val="3370ff"/>
                  <w:sz w:val="22"/>
                </w:rPr>
                <w:t>Here</w:t>
              </w:r>
            </w:hyperlink>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1500"/>
        <w:gridCol w:w="2415"/>
      </w:tblGrid>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No.</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SF Account</w:t>
            </w:r>
          </w:p>
        </w:tc>
        <w:tc>
          <w:tcPr>
            <w:tcW w:w="24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Call Recording Links</w:t>
            </w: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hyperlink r:id="rId15">
              <w:r>
                <w:rPr>
                  <w:rFonts w:eastAsia="等线" w:ascii="Arial" w:cs="Arial" w:hAnsi="Arial"/>
                  <w:color w:val="3370ff"/>
                  <w:sz w:val="22"/>
                  <w:u w:val="single"/>
                </w:rPr>
                <w:t>Here</w:t>
              </w:r>
            </w:hyperlink>
          </w:p>
        </w:tc>
        <w:tc>
          <w:tcPr>
            <w:tcW w:w="2415" w:type="dxa"/>
            <w:tcMar>
              <w:top w:type="dxa" w:w="60"/>
              <w:left w:type="dxa" w:w="120"/>
              <w:bottom w:type="dxa" w:w="30"/>
              <w:right w:type="dxa" w:w="120"/>
            </w:tcMar>
          </w:tcPr>
          <w:p>
            <w:pPr>
              <w:spacing w:before="120" w:after="120" w:line="288" w:lineRule="auto"/>
              <w:ind w:left="0"/>
              <w:jc w:val="center"/>
            </w:pPr>
            <w:hyperlink r:id="rId16">
              <w:r>
                <w:rPr>
                  <w:rFonts w:eastAsia="等线" w:ascii="Arial" w:cs="Arial" w:hAnsi="Arial"/>
                  <w:color w:val="3370ff"/>
                  <w:sz w:val="22"/>
                  <w:u w:val="single"/>
                </w:rPr>
                <w:t>Here</w:t>
              </w:r>
            </w:hyperlink>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hyperlink r:id="rId17">
              <w:r>
                <w:rPr>
                  <w:rFonts w:eastAsia="等线" w:ascii="Arial" w:cs="Arial" w:hAnsi="Arial"/>
                  <w:color w:val="3370ff"/>
                  <w:sz w:val="22"/>
                  <w:u w:val="single"/>
                </w:rPr>
                <w:t>Here</w:t>
              </w:r>
            </w:hyperlink>
          </w:p>
        </w:tc>
        <w:tc>
          <w:tcPr>
            <w:tcW w:w="2415" w:type="dxa"/>
            <w:tcMar>
              <w:top w:type="dxa" w:w="60"/>
              <w:left w:type="dxa" w:w="120"/>
              <w:bottom w:type="dxa" w:w="30"/>
              <w:right w:type="dxa" w:w="120"/>
            </w:tcMar>
          </w:tcPr>
          <w:p>
            <w:pPr>
              <w:spacing w:before="120" w:after="120" w:line="288" w:lineRule="auto"/>
              <w:ind w:left="0"/>
              <w:jc w:val="center"/>
            </w:pPr>
            <w:hyperlink r:id="rId18">
              <w:r>
                <w:rPr>
                  <w:rFonts w:eastAsia="等线" w:ascii="Arial" w:cs="Arial" w:hAnsi="Arial"/>
                  <w:color w:val="3370ff"/>
                  <w:sz w:val="22"/>
                  <w:u w:val="single"/>
                </w:rPr>
                <w:t>Here</w:t>
              </w:r>
            </w:hyperlink>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hyperlink r:id="rId19">
              <w:r>
                <w:rPr>
                  <w:rFonts w:eastAsia="等线" w:ascii="Arial" w:cs="Arial" w:hAnsi="Arial"/>
                  <w:color w:val="3370ff"/>
                  <w:sz w:val="22"/>
                  <w:u w:val="single"/>
                </w:rPr>
                <w:t>Here</w:t>
              </w:r>
            </w:hyperlink>
          </w:p>
        </w:tc>
        <w:tc>
          <w:tcPr>
            <w:tcW w:w="2415" w:type="dxa"/>
            <w:tcMar>
              <w:top w:type="dxa" w:w="60"/>
              <w:left w:type="dxa" w:w="120"/>
              <w:bottom w:type="dxa" w:w="30"/>
              <w:right w:type="dxa" w:w="120"/>
            </w:tcMar>
          </w:tcPr>
          <w:p>
            <w:pPr>
              <w:spacing w:before="120" w:after="120" w:line="288" w:lineRule="auto"/>
              <w:ind w:left="0"/>
              <w:jc w:val="center"/>
            </w:pPr>
            <w:hyperlink r:id="rId20">
              <w:r>
                <w:rPr>
                  <w:rFonts w:eastAsia="等线" w:ascii="Arial" w:cs="Arial" w:hAnsi="Arial"/>
                  <w:color w:val="3370ff"/>
                  <w:sz w:val="22"/>
                  <w:u w:val="single"/>
                </w:rPr>
                <w:t>Here</w:t>
              </w:r>
            </w:hyperlink>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hyperlink r:id="rId21">
              <w:r>
                <w:rPr>
                  <w:rFonts w:eastAsia="等线" w:ascii="Arial" w:cs="Arial" w:hAnsi="Arial"/>
                  <w:color w:val="3370ff"/>
                  <w:sz w:val="22"/>
                  <w:u w:val="single"/>
                </w:rPr>
                <w:t>Here</w:t>
              </w:r>
            </w:hyperlink>
          </w:p>
        </w:tc>
        <w:tc>
          <w:tcPr>
            <w:tcW w:w="2415" w:type="dxa"/>
            <w:tcMar>
              <w:top w:type="dxa" w:w="60"/>
              <w:left w:type="dxa" w:w="120"/>
              <w:bottom w:type="dxa" w:w="30"/>
              <w:right w:type="dxa" w:w="120"/>
            </w:tcMar>
          </w:tcPr>
          <w:p>
            <w:pPr>
              <w:spacing w:before="120" w:after="120" w:line="288" w:lineRule="auto"/>
              <w:ind w:left="0"/>
              <w:jc w:val="center"/>
            </w:pPr>
            <w:hyperlink r:id="rId22">
              <w:r>
                <w:rPr>
                  <w:rFonts w:eastAsia="等线" w:ascii="Arial" w:cs="Arial" w:hAnsi="Arial"/>
                  <w:color w:val="3370ff"/>
                  <w:sz w:val="22"/>
                  <w:u w:val="single"/>
                </w:rPr>
                <w:t>Here</w:t>
              </w:r>
            </w:hyperlink>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color w:val="de7802"/>
          <w:sz w:val="32"/>
        </w:rPr>
        <w:t>What is a Go Live Check-in?</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The </w:t>
      </w:r>
      <w:r>
        <w:rPr>
          <w:rFonts w:eastAsia="等线" w:ascii="Arial" w:cs="Arial" w:hAnsi="Arial"/>
          <w:i w:val="true"/>
          <w:sz w:val="22"/>
        </w:rPr>
        <w:t>Go Live Check-in</w:t>
      </w:r>
      <w:r>
        <w:rPr>
          <w:rFonts w:eastAsia="等线" w:ascii="Arial" w:cs="Arial" w:hAnsi="Arial"/>
          <w:sz w:val="22"/>
        </w:rPr>
        <w:t xml:space="preserve"> is your chance to give merchants one final pulse check before they officially hit the ground running with their business. Think of it as a pre-launch pit stop 🚦— you’re there to ensure everything is in tip-top shape.</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 role?</w:t>
      </w:r>
    </w:p>
    <w:p>
      <w:pPr>
        <w:numPr>
          <w:numId w:val="4"/>
        </w:numPr>
        <w:spacing w:before="120" w:after="120" w:line="288" w:lineRule="auto"/>
        <w:ind w:left="0"/>
        <w:jc w:val="left"/>
      </w:pPr>
      <w:r>
        <w:rPr>
          <w:rFonts w:eastAsia="等线" w:ascii="Arial" w:cs="Arial" w:hAnsi="Arial"/>
          <w:sz w:val="22"/>
        </w:rPr>
        <w:t xml:space="preserve">Check in on their </w:t>
      </w:r>
      <w:r>
        <w:rPr>
          <w:rFonts w:eastAsia="等线" w:ascii="Arial" w:cs="Arial" w:hAnsi="Arial"/>
          <w:b w:val="true"/>
          <w:sz w:val="22"/>
        </w:rPr>
        <w:t>onboarding experience</w:t>
      </w:r>
      <w:r>
        <w:rPr>
          <w:rFonts w:eastAsia="等线" w:ascii="Arial" w:cs="Arial" w:hAnsi="Arial"/>
          <w:sz w:val="22"/>
        </w:rPr>
        <w:t xml:space="preserve"> — Was it smooth? Did they encounter any road bumps?</w:t>
      </w:r>
    </w:p>
    <w:p>
      <w:pPr>
        <w:numPr>
          <w:numId w:val="5"/>
        </w:numPr>
        <w:spacing w:before="120" w:after="120" w:line="288" w:lineRule="auto"/>
        <w:ind w:left="0"/>
        <w:jc w:val="left"/>
      </w:pPr>
      <w:r>
        <w:rPr>
          <w:rFonts w:eastAsia="等线" w:ascii="Arial" w:cs="Arial" w:hAnsi="Arial"/>
          <w:sz w:val="22"/>
        </w:rPr>
        <w:t xml:space="preserve">Confirm they’ve received </w:t>
      </w:r>
      <w:r>
        <w:rPr>
          <w:rFonts w:eastAsia="等线" w:ascii="Arial" w:cs="Arial" w:hAnsi="Arial"/>
          <w:b w:val="true"/>
          <w:sz w:val="22"/>
        </w:rPr>
        <w:t>all the resources</w:t>
      </w:r>
      <w:r>
        <w:rPr>
          <w:rFonts w:eastAsia="等线" w:ascii="Arial" w:cs="Arial" w:hAnsi="Arial"/>
          <w:sz w:val="22"/>
        </w:rPr>
        <w:t xml:space="preserve"> they need to get started confidently. (Because running a business without the right tools is like driving without fuel!)</w:t>
      </w:r>
    </w:p>
    <w:p>
      <w:pPr>
        <w:numPr>
          <w:numId w:val="6"/>
        </w:numPr>
        <w:spacing w:before="120" w:after="120" w:line="288" w:lineRule="auto"/>
        <w:ind w:left="0"/>
        <w:jc w:val="left"/>
      </w:pPr>
      <w:r>
        <w:rPr>
          <w:rFonts w:eastAsia="等线" w:ascii="Arial" w:cs="Arial" w:hAnsi="Arial"/>
          <w:sz w:val="22"/>
        </w:rPr>
        <w:t xml:space="preserve">Offer any </w:t>
      </w:r>
      <w:r>
        <w:rPr>
          <w:rFonts w:eastAsia="等线" w:ascii="Arial" w:cs="Arial" w:hAnsi="Arial"/>
          <w:b w:val="true"/>
          <w:sz w:val="22"/>
        </w:rPr>
        <w:t>last-minute assistance</w:t>
      </w:r>
      <w:r>
        <w:rPr>
          <w:rFonts w:eastAsia="等线" w:ascii="Arial" w:cs="Arial" w:hAnsi="Arial"/>
          <w:sz w:val="22"/>
        </w:rPr>
        <w:t xml:space="preserve"> — whether it’s clarifying something, troubleshooting, or just giving them that final boost of confidence.</w:t>
      </w:r>
    </w:p>
    <w:p>
      <w:pPr>
        <w:spacing w:before="120" w:after="120" w:line="288" w:lineRule="auto"/>
        <w:ind w:left="0"/>
        <w:jc w:val="left"/>
      </w:pPr>
    </w:p>
    <w:p>
      <w:pPr>
        <w:spacing w:before="120" w:after="120" w:line="288" w:lineRule="auto"/>
        <w:ind w:left="0"/>
        <w:jc w:val="left"/>
      </w:pPr>
      <w:r>
        <w:rPr>
          <w:rFonts w:eastAsia="等线" w:ascii="Arial" w:cs="Arial" w:hAnsi="Arial"/>
          <w:sz w:val="22"/>
        </w:rPr>
        <w:t>Remember: Merchants are gearing up to launch, so be their biggest cheerleader and problem-solver. Let them know you’ve got their back, and they’re not alone as they step into this exciting stage of their journey! 🚀</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Samples for you to study from our Senior Rockstars</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shd w:fill="ffa53d"/>
        </w:rPr>
        <w:t>Malaysia</w:t>
      </w:r>
      <w:r>
        <w:rPr>
          <w:rFonts w:eastAsia="等线" w:ascii="Arial" w:cs="Arial" w:hAnsi="Arial"/>
          <w:b w:val="true"/>
          <w:sz w:val="22"/>
        </w:rPr>
        <w:t xml:space="preserve"> team, refer table below:</w:t>
      </w:r>
    </w:p>
    <w:p>
      <w:pPr>
        <w:spacing w:before="120" w:after="120" w:line="288" w:lineRule="auto"/>
        <w:ind w:left="0"/>
        <w:jc w:val="left"/>
      </w:pP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 xml:space="preserve">: </w:t>
            </w:r>
            <w:hyperlink r:id="rId23">
              <w:r>
                <w:rPr>
                  <w:rFonts w:eastAsia="等线" w:ascii="Arial" w:cs="Arial" w:hAnsi="Arial"/>
                  <w:color w:val="3370ff"/>
                  <w:sz w:val="22"/>
                </w:rPr>
                <w:t>Here</w:t>
              </w:r>
            </w:hyperlink>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1815"/>
        <w:gridCol w:w="2595"/>
      </w:tblGrid>
      <w:tr>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No.</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SF Accounts</w:t>
            </w:r>
          </w:p>
        </w:tc>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Call Recording Links</w:t>
            </w:r>
          </w:p>
        </w:tc>
      </w:tr>
      <w:tr>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15" w:type="dxa"/>
            <w:tcMar>
              <w:top w:type="dxa" w:w="60"/>
              <w:left w:type="dxa" w:w="120"/>
              <w:bottom w:type="dxa" w:w="30"/>
              <w:right w:type="dxa" w:w="120"/>
            </w:tcMar>
          </w:tcPr>
          <w:p>
            <w:pPr>
              <w:spacing w:before="120" w:after="120" w:line="288" w:lineRule="auto"/>
              <w:ind w:left="0"/>
              <w:jc w:val="center"/>
            </w:pPr>
            <w:hyperlink r:id="rId24">
              <w:r>
                <w:rPr>
                  <w:rFonts w:eastAsia="等线" w:ascii="Arial" w:cs="Arial" w:hAnsi="Arial"/>
                  <w:color w:val="3370ff"/>
                  <w:sz w:val="22"/>
                  <w:u w:val="single"/>
                </w:rPr>
                <w:t>Here</w:t>
              </w:r>
            </w:hyperlink>
          </w:p>
        </w:tc>
        <w:tc>
          <w:tcPr>
            <w:tcW w:w="2595" w:type="dxa"/>
            <w:tcMar>
              <w:top w:type="dxa" w:w="60"/>
              <w:left w:type="dxa" w:w="120"/>
              <w:bottom w:type="dxa" w:w="30"/>
              <w:right w:type="dxa" w:w="120"/>
            </w:tcMar>
          </w:tcPr>
          <w:p>
            <w:pPr>
              <w:spacing w:before="120" w:after="120" w:line="288" w:lineRule="auto"/>
              <w:ind w:left="0"/>
              <w:jc w:val="center"/>
            </w:pPr>
            <w:hyperlink r:id="rId25">
              <w:r>
                <w:rPr>
                  <w:rFonts w:eastAsia="等线" w:ascii="Arial" w:cs="Arial" w:hAnsi="Arial"/>
                  <w:color w:val="3370ff"/>
                  <w:sz w:val="22"/>
                  <w:u w:val="single"/>
                </w:rPr>
                <w:t>Here</w:t>
              </w:r>
            </w:hyperlink>
          </w:p>
        </w:tc>
      </w:tr>
      <w:tr>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815" w:type="dxa"/>
            <w:tcMar>
              <w:top w:type="dxa" w:w="60"/>
              <w:left w:type="dxa" w:w="120"/>
              <w:bottom w:type="dxa" w:w="30"/>
              <w:right w:type="dxa" w:w="120"/>
            </w:tcMar>
          </w:tcPr>
          <w:p>
            <w:pPr>
              <w:spacing w:before="120" w:after="120" w:line="288" w:lineRule="auto"/>
              <w:ind w:left="0"/>
              <w:jc w:val="center"/>
            </w:pPr>
            <w:hyperlink r:id="rId26">
              <w:r>
                <w:rPr>
                  <w:rFonts w:eastAsia="等线" w:ascii="Arial" w:cs="Arial" w:hAnsi="Arial"/>
                  <w:color w:val="3370ff"/>
                  <w:sz w:val="22"/>
                  <w:u w:val="single"/>
                </w:rPr>
                <w:t>Here</w:t>
              </w:r>
            </w:hyperlink>
          </w:p>
        </w:tc>
        <w:tc>
          <w:tcPr>
            <w:tcW w:w="2595" w:type="dxa"/>
            <w:tcMar>
              <w:top w:type="dxa" w:w="60"/>
              <w:left w:type="dxa" w:w="120"/>
              <w:bottom w:type="dxa" w:w="30"/>
              <w:right w:type="dxa" w:w="120"/>
            </w:tcMar>
          </w:tcPr>
          <w:p>
            <w:pPr>
              <w:spacing w:before="120" w:after="120" w:line="288" w:lineRule="auto"/>
              <w:ind w:left="0"/>
              <w:jc w:val="center"/>
            </w:pPr>
            <w:hyperlink r:id="rId27">
              <w:r>
                <w:rPr>
                  <w:rFonts w:eastAsia="等线" w:ascii="Arial" w:cs="Arial" w:hAnsi="Arial"/>
                  <w:color w:val="3370ff"/>
                  <w:sz w:val="22"/>
                  <w:u w:val="single"/>
                </w:rPr>
                <w:t>Here</w:t>
              </w:r>
            </w:hyperlink>
          </w:p>
        </w:tc>
      </w:tr>
      <w:tr>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815" w:type="dxa"/>
            <w:tcMar>
              <w:top w:type="dxa" w:w="60"/>
              <w:left w:type="dxa" w:w="120"/>
              <w:bottom w:type="dxa" w:w="30"/>
              <w:right w:type="dxa" w:w="120"/>
            </w:tcMar>
          </w:tcPr>
          <w:p>
            <w:pPr>
              <w:spacing w:before="120" w:after="120" w:line="288" w:lineRule="auto"/>
              <w:ind w:left="0"/>
              <w:jc w:val="center"/>
            </w:pPr>
            <w:hyperlink r:id="rId28">
              <w:r>
                <w:rPr>
                  <w:rFonts w:eastAsia="等线" w:ascii="Arial" w:cs="Arial" w:hAnsi="Arial"/>
                  <w:color w:val="3370ff"/>
                  <w:sz w:val="22"/>
                  <w:u w:val="single"/>
                </w:rPr>
                <w:t>Here</w:t>
              </w:r>
            </w:hyperlink>
          </w:p>
        </w:tc>
        <w:tc>
          <w:tcPr>
            <w:tcW w:w="2595" w:type="dxa"/>
            <w:tcMar>
              <w:top w:type="dxa" w:w="60"/>
              <w:left w:type="dxa" w:w="120"/>
              <w:bottom w:type="dxa" w:w="30"/>
              <w:right w:type="dxa" w:w="120"/>
            </w:tcMar>
          </w:tcPr>
          <w:p>
            <w:pPr>
              <w:spacing w:before="120" w:after="120" w:line="288" w:lineRule="auto"/>
              <w:ind w:left="0"/>
              <w:jc w:val="center"/>
            </w:pPr>
            <w:hyperlink r:id="rId29">
              <w:r>
                <w:rPr>
                  <w:rFonts w:eastAsia="等线" w:ascii="Arial" w:cs="Arial" w:hAnsi="Arial"/>
                  <w:color w:val="3370ff"/>
                  <w:sz w:val="22"/>
                  <w:u w:val="single"/>
                </w:rPr>
                <w:t>Here</w:t>
              </w:r>
            </w:hyperlink>
          </w:p>
        </w:tc>
      </w:tr>
      <w:tr>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815" w:type="dxa"/>
            <w:tcMar>
              <w:top w:type="dxa" w:w="60"/>
              <w:left w:type="dxa" w:w="120"/>
              <w:bottom w:type="dxa" w:w="30"/>
              <w:right w:type="dxa" w:w="120"/>
            </w:tcMar>
          </w:tcPr>
          <w:p>
            <w:pPr>
              <w:spacing w:before="120" w:after="120" w:line="288" w:lineRule="auto"/>
              <w:ind w:left="0"/>
              <w:jc w:val="center"/>
            </w:pPr>
            <w:hyperlink r:id="rId30">
              <w:r>
                <w:rPr>
                  <w:rFonts w:eastAsia="等线" w:ascii="Arial" w:cs="Arial" w:hAnsi="Arial"/>
                  <w:color w:val="3370ff"/>
                  <w:sz w:val="22"/>
                  <w:u w:val="single"/>
                </w:rPr>
                <w:t>Here</w:t>
              </w:r>
            </w:hyperlink>
          </w:p>
        </w:tc>
        <w:tc>
          <w:tcPr>
            <w:tcW w:w="2595" w:type="dxa"/>
            <w:tcMar>
              <w:top w:type="dxa" w:w="60"/>
              <w:left w:type="dxa" w:w="120"/>
              <w:bottom w:type="dxa" w:w="30"/>
              <w:right w:type="dxa" w:w="120"/>
            </w:tcMar>
          </w:tcPr>
          <w:p>
            <w:pPr>
              <w:spacing w:before="120" w:after="120" w:line="288" w:lineRule="auto"/>
              <w:ind w:left="0"/>
              <w:jc w:val="center"/>
            </w:pPr>
            <w:hyperlink r:id="rId31">
              <w:r>
                <w:rPr>
                  <w:rFonts w:eastAsia="等线" w:ascii="Arial" w:cs="Arial" w:hAnsi="Arial"/>
                  <w:color w:val="3370ff"/>
                  <w:sz w:val="22"/>
                  <w:u w:val="single"/>
                </w:rPr>
                <w:t>Here</w:t>
              </w:r>
            </w:hyperlink>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color w:val="de7802"/>
          <w:sz w:val="30"/>
        </w:rPr>
        <w:t>Why Do you Need to Know This?</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Well, here’s the deal: </w:t>
      </w:r>
      <w:r>
        <w:rPr>
          <w:rFonts w:eastAsia="等线" w:ascii="Arial" w:cs="Arial" w:hAnsi="Arial"/>
          <w:b w:val="true"/>
          <w:sz w:val="22"/>
        </w:rPr>
        <w:t>on Day 5</w:t>
      </w:r>
      <w:r>
        <w:rPr>
          <w:rFonts w:eastAsia="等线" w:ascii="Arial" w:cs="Arial" w:hAnsi="Arial"/>
          <w:sz w:val="22"/>
        </w:rPr>
        <w:t xml:space="preserve">, you’ll face your </w:t>
      </w:r>
      <w:r>
        <w:rPr>
          <w:rFonts w:eastAsia="等线" w:ascii="Arial" w:cs="Arial" w:hAnsi="Arial"/>
          <w:b w:val="true"/>
          <w:sz w:val="22"/>
        </w:rPr>
        <w:t>Mock Test</w:t>
      </w:r>
      <w:r>
        <w:rPr>
          <w:rFonts w:eastAsia="等线" w:ascii="Arial" w:cs="Arial" w:hAnsi="Arial"/>
          <w:sz w:val="22"/>
        </w:rPr>
        <w:t xml:space="preserve"> — a rite of passage where you get to shine! ✨</w:t>
      </w:r>
    </w:p>
    <w:p>
      <w:pPr>
        <w:spacing w:before="120" w:after="120" w:line="288" w:lineRule="auto"/>
        <w:ind w:left="0"/>
        <w:jc w:val="left"/>
      </w:pPr>
    </w:p>
    <w:p>
      <w:pPr>
        <w:spacing w:before="120" w:after="120" w:line="288" w:lineRule="auto"/>
        <w:ind w:left="0"/>
        <w:jc w:val="left"/>
      </w:pPr>
      <w:r>
        <w:rPr>
          <w:rFonts w:eastAsia="等线" w:ascii="Arial" w:cs="Arial" w:hAnsi="Arial"/>
          <w:sz w:val="22"/>
        </w:rPr>
        <w:t>Here’s what you’ll be doing:</w:t>
      </w:r>
    </w:p>
    <w:p>
      <w:pPr>
        <w:numPr>
          <w:numId w:val="7"/>
        </w:numPr>
        <w:spacing w:before="120" w:after="120" w:line="288" w:lineRule="auto"/>
        <w:ind w:left="0"/>
        <w:jc w:val="left"/>
      </w:pPr>
      <w:r>
        <w:rPr>
          <w:rFonts w:eastAsia="等线" w:ascii="Arial" w:cs="Arial" w:hAnsi="Arial"/>
          <w:b w:val="true"/>
          <w:sz w:val="22"/>
        </w:rPr>
        <w:t>You’ll receive a Salesforce account</w:t>
      </w:r>
      <w:r>
        <w:rPr>
          <w:rFonts w:eastAsia="等线" w:ascii="Arial" w:cs="Arial" w:hAnsi="Arial"/>
          <w:sz w:val="22"/>
        </w:rPr>
        <w:t xml:space="preserve"> in advance. Dig in and familiarize yourself with the merchant’s profile. (Think of it like prepping for a first date — you don’t want to show up clueless!)</w:t>
      </w:r>
    </w:p>
    <w:p>
      <w:pPr>
        <w:numPr>
          <w:numId w:val="8"/>
        </w:numPr>
        <w:spacing w:before="120" w:after="120" w:line="288" w:lineRule="auto"/>
        <w:ind w:left="0"/>
        <w:jc w:val="left"/>
      </w:pPr>
      <w:r>
        <w:rPr>
          <w:rFonts w:eastAsia="等线" w:ascii="Arial" w:cs="Arial" w:hAnsi="Arial"/>
          <w:b w:val="true"/>
          <w:sz w:val="22"/>
        </w:rPr>
        <w:t>You’ll follow the scripts</w:t>
      </w:r>
      <w:r>
        <w:rPr>
          <w:rFonts w:eastAsia="等线" w:ascii="Arial" w:cs="Arial" w:hAnsi="Arial"/>
          <w:sz w:val="22"/>
        </w:rPr>
        <w:t xml:space="preserve"> for the </w:t>
      </w:r>
      <w:r>
        <w:rPr>
          <w:rFonts w:eastAsia="等线" w:ascii="Arial" w:cs="Arial" w:hAnsi="Arial"/>
          <w:b w:val="true"/>
          <w:sz w:val="22"/>
        </w:rPr>
        <w:t>Welcome Call</w:t>
      </w:r>
      <w:r>
        <w:rPr>
          <w:rFonts w:eastAsia="等线" w:ascii="Arial" w:cs="Arial" w:hAnsi="Arial"/>
          <w:sz w:val="22"/>
        </w:rPr>
        <w:t xml:space="preserve"> and </w:t>
      </w:r>
      <w:r>
        <w:rPr>
          <w:rFonts w:eastAsia="等线" w:ascii="Arial" w:cs="Arial" w:hAnsi="Arial"/>
          <w:b w:val="true"/>
          <w:sz w:val="22"/>
        </w:rPr>
        <w:t>Go Live Check-in</w:t>
      </w:r>
      <w:r>
        <w:rPr>
          <w:rFonts w:eastAsia="等线" w:ascii="Arial" w:cs="Arial" w:hAnsi="Arial"/>
          <w:sz w:val="22"/>
        </w:rPr>
        <w:t>. The key? Replicating a real-world experience with confidence and clarity.</w:t>
      </w:r>
    </w:p>
    <w:p>
      <w:pPr>
        <w:numPr>
          <w:numId w:val="9"/>
        </w:numPr>
        <w:spacing w:before="120" w:after="120" w:line="288" w:lineRule="auto"/>
        <w:ind w:left="0"/>
        <w:jc w:val="left"/>
      </w:pPr>
      <w:r>
        <w:rPr>
          <w:rFonts w:eastAsia="等线" w:ascii="Arial" w:cs="Arial" w:hAnsi="Arial"/>
          <w:b w:val="true"/>
          <w:sz w:val="22"/>
        </w:rPr>
        <w:t>You’ll roleplay this with your evaluator</w:t>
      </w:r>
      <w:r>
        <w:rPr>
          <w:rFonts w:eastAsia="等线" w:ascii="Arial" w:cs="Arial" w:hAnsi="Arial"/>
          <w:sz w:val="22"/>
        </w:rPr>
        <w:t>, who will be acting as the merchant. Yes, they’ll test you, but don’t sweat it! Think of them as your toughest customer — if you can handle them, you can handle anyone.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The Mock Test isn’t just a checkbox — it’s a golden opportunity to </w:t>
      </w:r>
      <w:r>
        <w:rPr>
          <w:rFonts w:eastAsia="等线" w:ascii="Arial" w:cs="Arial" w:hAnsi="Arial"/>
          <w:b w:val="true"/>
          <w:sz w:val="22"/>
        </w:rPr>
        <w:t>prove your skills</w:t>
      </w:r>
      <w:r>
        <w:rPr>
          <w:rFonts w:eastAsia="等线" w:ascii="Arial" w:cs="Arial" w:hAnsi="Arial"/>
          <w:sz w:val="22"/>
        </w:rPr>
        <w:t xml:space="preserve">, practice what you’ve learned, and </w:t>
      </w:r>
      <w:r>
        <w:rPr>
          <w:rFonts w:eastAsia="等线" w:ascii="Arial" w:cs="Arial" w:hAnsi="Arial"/>
          <w:i w:val="true"/>
          <w:sz w:val="22"/>
        </w:rPr>
        <w:t>wow</w:t>
      </w:r>
      <w:r>
        <w:rPr>
          <w:rFonts w:eastAsia="等线" w:ascii="Arial" w:cs="Arial" w:hAnsi="Arial"/>
          <w:sz w:val="22"/>
        </w:rPr>
        <w:t xml:space="preserve"> your evaluator. So, dive in, prep well, and show them you’ve got this! 💪🚀</w:t>
      </w:r>
    </w:p>
    <w:p>
      <w:pPr>
        <w:spacing w:before="120" w:after="120" w:line="288" w:lineRule="auto"/>
        <w:ind w:left="0"/>
        <w:jc w:val="left"/>
      </w:pPr>
    </w:p>
    <w:sectPr>
      <w:footerReference w:type="default" r:id="rId3"/>
      <w:headerReference w:type="default" r:id="rId3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8892">
    <w:lvl>
      <w:start w:val="1"/>
      <w:numFmt w:val="decimal"/>
      <w:suff w:val="tab"/>
      <w:lvlText w:val="%1."/>
      <w:rPr>
        <w:color w:val="3370ff"/>
      </w:rPr>
    </w:lvl>
  </w:abstractNum>
  <w:abstractNum w:abstractNumId="88893">
    <w:lvl>
      <w:start w:val="2"/>
      <w:numFmt w:val="decimal"/>
      <w:suff w:val="tab"/>
      <w:lvlText w:val="%1."/>
      <w:rPr>
        <w:color w:val="3370ff"/>
      </w:rPr>
    </w:lvl>
  </w:abstractNum>
  <w:abstractNum w:abstractNumId="88894">
    <w:lvl>
      <w:start w:val="3"/>
      <w:numFmt w:val="decimal"/>
      <w:suff w:val="tab"/>
      <w:lvlText w:val="%1."/>
      <w:rPr>
        <w:color w:val="3370ff"/>
      </w:rPr>
    </w:lvl>
  </w:abstractNum>
  <w:abstractNum w:abstractNumId="88895">
    <w:lvl>
      <w:numFmt w:val="bullet"/>
      <w:suff w:val="tab"/>
      <w:lvlText w:val="•"/>
      <w:rPr>
        <w:color w:val="3370ff"/>
      </w:rPr>
    </w:lvl>
  </w:abstractNum>
  <w:abstractNum w:abstractNumId="88896">
    <w:lvl>
      <w:numFmt w:val="bullet"/>
      <w:suff w:val="tab"/>
      <w:lvlText w:val="•"/>
      <w:rPr>
        <w:color w:val="3370ff"/>
      </w:rPr>
    </w:lvl>
  </w:abstractNum>
  <w:abstractNum w:abstractNumId="88897">
    <w:lvl>
      <w:numFmt w:val="bullet"/>
      <w:suff w:val="tab"/>
      <w:lvlText w:val="•"/>
      <w:rPr>
        <w:color w:val="3370ff"/>
      </w:rPr>
    </w:lvl>
  </w:abstractNum>
  <w:abstractNum w:abstractNumId="88898">
    <w:lvl>
      <w:start w:val="1"/>
      <w:numFmt w:val="decimal"/>
      <w:suff w:val="tab"/>
      <w:lvlText w:val="%1."/>
      <w:rPr>
        <w:color w:val="3370ff"/>
      </w:rPr>
    </w:lvl>
  </w:abstractNum>
  <w:abstractNum w:abstractNumId="88899">
    <w:lvl>
      <w:start w:val="2"/>
      <w:numFmt w:val="decimal"/>
      <w:suff w:val="tab"/>
      <w:lvlText w:val="%1."/>
      <w:rPr>
        <w:color w:val="3370ff"/>
      </w:rPr>
    </w:lvl>
  </w:abstractNum>
  <w:abstractNum w:abstractNumId="88900">
    <w:lvl>
      <w:start w:val="3"/>
      <w:numFmt w:val="decimal"/>
      <w:suff w:val="tab"/>
      <w:lvlText w:val="%1."/>
      <w:rPr>
        <w:color w:val="3370ff"/>
      </w:rPr>
    </w:lvl>
  </w:abstractNum>
  <w:num w:numId="1">
    <w:abstractNumId w:val="88892"/>
  </w:num>
  <w:num w:numId="2">
    <w:abstractNumId w:val="88893"/>
  </w:num>
  <w:num w:numId="3">
    <w:abstractNumId w:val="88894"/>
  </w:num>
  <w:num w:numId="4">
    <w:abstractNumId w:val="88895"/>
  </w:num>
  <w:num w:numId="5">
    <w:abstractNumId w:val="88896"/>
  </w:num>
  <w:num w:numId="6">
    <w:abstractNumId w:val="88897"/>
  </w:num>
  <w:num w:numId="7">
    <w:abstractNumId w:val="88898"/>
  </w:num>
  <w:num w:numId="8">
    <w:abstractNumId w:val="88899"/>
  </w:num>
  <w:num w:numId="9">
    <w:abstractNumId w:val="8890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storehub.lightning.force.com/lightning/r/Onboarding_Trainer__c/a0yQ900000192JlIAI/view" TargetMode="External" Type="http://schemas.openxmlformats.org/officeDocument/2006/relationships/hyperlink"/><Relationship Id="rId11" Target="https://assets.aircall.io/calls/1887718587/recording" TargetMode="External" Type="http://schemas.openxmlformats.org/officeDocument/2006/relationships/hyperlink"/><Relationship Id="rId12" Target="https://storehub.lightning.force.com/lightning/r/Onboarding_Trainer__c/a0yQ9000001HZbtIAG/view" TargetMode="External" Type="http://schemas.openxmlformats.org/officeDocument/2006/relationships/hyperlink"/><Relationship Id="rId13" Target="https://assets.aircall.io/calls/1901333570/recording" TargetMode="External" Type="http://schemas.openxmlformats.org/officeDocument/2006/relationships/hyperlink"/><Relationship Id="rId14" Target="https://docs.google.com/document/d/1nPx4NzjkAZwH7plNPQOx-GEqMa2gEON1bct8-6kXI4Q/edit?tab=t.0" TargetMode="External" Type="http://schemas.openxmlformats.org/officeDocument/2006/relationships/hyperlink"/><Relationship Id="rId15" Target="https://storehub.lightning.force.com/lightning/r/Onboarding_Trainer__c/a0yQ9000001qaBhIAI/view" TargetMode="External" Type="http://schemas.openxmlformats.org/officeDocument/2006/relationships/hyperlink"/><Relationship Id="rId16" Target="https://assets.aircall.io/calls/2023401018/recording" TargetMode="External" Type="http://schemas.openxmlformats.org/officeDocument/2006/relationships/hyperlink"/><Relationship Id="rId17" Target="https://storehub.lightning.force.com/lightning/r/Lead/00QA7000003tcrnMAA/view" TargetMode="External" Type="http://schemas.openxmlformats.org/officeDocument/2006/relationships/hyperlink"/><Relationship Id="rId18" Target="https://assets.aircall.io/calls/2039335936/recording" TargetMode="External" Type="http://schemas.openxmlformats.org/officeDocument/2006/relationships/hyperlink"/><Relationship Id="rId19" Target="https://storehub.lightning.force.com/lightning/r/Onboarding_Trainer__c/a0yQ9000001uVWnIAM/view" TargetMode="External" Type="http://schemas.openxmlformats.org/officeDocument/2006/relationships/hyperlink"/><Relationship Id="rId2" Target="styles.xml" Type="http://schemas.openxmlformats.org/officeDocument/2006/relationships/styles"/><Relationship Id="rId20" Target="https://assets.aircall.io/calls/2041980205/recording" TargetMode="External" Type="http://schemas.openxmlformats.org/officeDocument/2006/relationships/hyperlink"/><Relationship Id="rId21" Target="https://storehub.lightning.force.com/lightning/r/Onboarding_Trainer__c/a0yQ9000001jrXRIAY/view" TargetMode="External" Type="http://schemas.openxmlformats.org/officeDocument/2006/relationships/hyperlink"/><Relationship Id="rId22" Target="https://assets.aircall.io/calls/2003937638/recording" TargetMode="External" Type="http://schemas.openxmlformats.org/officeDocument/2006/relationships/hyperlink"/><Relationship Id="rId23" Target="https://docs.google.com/document/d/160D-r0_DdlKvFbUNzae1rhzHmcs3MxrNO_6G9kyD1ig/edit?tab=t.0#heading=h.qfic61ds2dl3" TargetMode="External" Type="http://schemas.openxmlformats.org/officeDocument/2006/relationships/hyperlink"/><Relationship Id="rId24" Target="https://storehub.lightning.force.com/lightning/r/Onboarding_Trainer__c/a0yQ900000111EPIAY/view" TargetMode="External" Type="http://schemas.openxmlformats.org/officeDocument/2006/relationships/hyperlink"/><Relationship Id="rId25" Target="https://assets.aircall.io/calls/1882425499/recording" TargetMode="External" Type="http://schemas.openxmlformats.org/officeDocument/2006/relationships/hyperlink"/><Relationship Id="rId26" Target="https://storehub.lightning.force.com/lightning/r/Onboarding_Trainer__c/a0yQ9000000v4q5IAA/view" TargetMode="External" Type="http://schemas.openxmlformats.org/officeDocument/2006/relationships/hyperlink"/><Relationship Id="rId27" Target="https://assets.aircall.io/calls/1879916142/recording" TargetMode="External" Type="http://schemas.openxmlformats.org/officeDocument/2006/relationships/hyperlink"/><Relationship Id="rId28" Target="https://storehub.lightning.force.com/lightning/r/Onboarding_Trainer__c/a0yQ9000001117xIAA/view" TargetMode="External" Type="http://schemas.openxmlformats.org/officeDocument/2006/relationships/hyperlink"/><Relationship Id="rId29" Target="https://assets.aircall.io/calls/1883080162/recording" TargetMode="External" Type="http://schemas.openxmlformats.org/officeDocument/2006/relationships/hyperlink"/><Relationship Id="rId3" Target="footer1.xml" Type="http://schemas.openxmlformats.org/officeDocument/2006/relationships/footer"/><Relationship Id="rId30" Target="https://storehub.lightning.force.com/lightning/r/Onboarding_Trainer__c/a0yQ90000017jflIAA/view" TargetMode="External" Type="http://schemas.openxmlformats.org/officeDocument/2006/relationships/hyperlink"/><Relationship Id="rId31" Target="https://assets.aircall.io/calls/1901578621/recording" TargetMode="External" Type="http://schemas.openxmlformats.org/officeDocument/2006/relationships/hyperlink"/><Relationship Id="rId32" Target="header1.xml" Type="http://schemas.openxmlformats.org/officeDocument/2006/relationships/header"/><Relationship Id="rId4" Target="numbering.xml" Type="http://schemas.openxmlformats.org/officeDocument/2006/relationships/numbering"/><Relationship Id="rId5" Target="https://docs.google.com/document/d/1lkwoVrEedwr97YWUJUsLf_ZYC8epEWJmwPtXx_dCVys/edit?tab=t.0#heading=h.xx7ms17z3i29" TargetMode="External" Type="http://schemas.openxmlformats.org/officeDocument/2006/relationships/hyperlink"/><Relationship Id="rId6" Target="https://storehub.lightning.force.com/lightning/r/Onboarding_Trainer__c/a0yQ900000191CPIAY/view" TargetMode="External" Type="http://schemas.openxmlformats.org/officeDocument/2006/relationships/hyperlink"/><Relationship Id="rId7" Target="https://assets.aircall.io/calls/1885110461/recording" TargetMode="External" Type="http://schemas.openxmlformats.org/officeDocument/2006/relationships/hyperlink"/><Relationship Id="rId8" Target="https://storehub.lightning.force.com/lightning/r/Onboarding_Trainer__c/a0yQ9000001ADEjIAO/view" TargetMode="External" Type="http://schemas.openxmlformats.org/officeDocument/2006/relationships/hyperlink"/><Relationship Id="rId9" Target="https://assets.aircall.io/calls/1887689145/recording"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2026-01-09T12:16:05Z</dcterms:created>
  <dc:creator>Apache POI</dc:creator>
</cp:coreProperties>
</file>