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Full Call Flow</w:t>
      </w:r>
    </w:p>
    <w:p>
      <w:pPr>
        <w:pStyle w:val="3"/>
        <w:spacing w:before="300" w:after="120" w:line="288" w:lineRule="auto"/>
        <w:ind w:left="0"/>
        <w:jc w:val="left"/>
        <w:outlineLvl w:val="2"/>
      </w:pPr>
      <w:bookmarkStart w:name="heading_0" w:id="0"/>
      <w:r>
        <w:rPr>
          <w:rFonts w:eastAsia="等线" w:ascii="Arial" w:cs="Arial" w:hAnsi="Arial"/>
          <w:b w:val="true"/>
          <w:sz w:val="30"/>
        </w:rPr>
        <w:t>Mastering the Full Call: The Introduction and BANT Qualification</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Now that you understand your core objectives, let's dive into the most fundamental part of your role: the sales call itself. A successful call is a structured conversation, not an improvised one. Today, we will focus on the first two, and arguably most critical, phases: </w:t>
      </w:r>
      <w:r>
        <w:rPr>
          <w:rFonts w:eastAsia="等线" w:ascii="Arial" w:cs="Arial" w:hAnsi="Arial"/>
          <w:b w:val="true"/>
          <w:color w:val="de7802"/>
          <w:sz w:val="22"/>
        </w:rPr>
        <w:t>The Introduction and BANT Qualification.</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The Introduction: Making the First 30 Seconds Count</w:t>
      </w:r>
    </w:p>
    <w:p>
      <w:pPr>
        <w:spacing w:before="120" w:after="120" w:line="288" w:lineRule="auto"/>
        <w:ind w:left="0"/>
        <w:jc w:val="left"/>
      </w:pPr>
      <w:r>
        <w:rPr>
          <w:rFonts w:eastAsia="等线" w:ascii="Arial" w:cs="Arial" w:hAnsi="Arial"/>
          <w:sz w:val="22"/>
        </w:rPr>
        <w:t>First impressions are everything. The introduction is your golden opportunity to capture the merchant's attention, establish credibility, and build immediate rapport. A weak opening can end a call before it even begins, while a strong, confident intro piques curiosity and earns you the right to continue the conversation.</w:t>
      </w:r>
    </w:p>
    <w:p>
      <w:pPr>
        <w:spacing w:before="120" w:after="120" w:line="288" w:lineRule="auto"/>
        <w:ind w:left="0"/>
        <w:jc w:val="left"/>
      </w:pPr>
      <w:r>
        <w:rPr>
          <w:rFonts w:eastAsia="等线" w:ascii="Arial" w:cs="Arial" w:hAnsi="Arial"/>
          <w:sz w:val="22"/>
        </w:rPr>
        <w:t>In this section, we will break down the precise formula for a perfect introduction. You'll learn how to:</w:t>
      </w:r>
    </w:p>
    <w:p>
      <w:pPr>
        <w:numPr>
          <w:numId w:val="2"/>
        </w:numPr>
        <w:spacing w:before="120" w:after="120" w:line="288" w:lineRule="auto"/>
        <w:ind w:left="0"/>
        <w:jc w:val="left"/>
      </w:pPr>
      <w:r>
        <w:rPr>
          <w:rFonts w:eastAsia="等线" w:ascii="Arial" w:cs="Arial" w:hAnsi="Arial"/>
          <w:sz w:val="22"/>
        </w:rPr>
        <w:t>Clearly state who you are and why you're calling.</w:t>
      </w:r>
    </w:p>
    <w:p>
      <w:pPr>
        <w:numPr>
          <w:numId w:val="3"/>
        </w:numPr>
        <w:spacing w:before="120" w:after="120" w:line="288" w:lineRule="auto"/>
        <w:ind w:left="0"/>
        <w:jc w:val="left"/>
      </w:pPr>
      <w:r>
        <w:rPr>
          <w:rFonts w:eastAsia="等线" w:ascii="Arial" w:cs="Arial" w:hAnsi="Arial"/>
          <w:sz w:val="22"/>
        </w:rPr>
        <w:t>Create an instant connection with the merchant.</w:t>
      </w:r>
    </w:p>
    <w:p>
      <w:pPr>
        <w:numPr>
          <w:numId w:val="4"/>
        </w:numPr>
        <w:spacing w:before="120" w:after="120" w:line="288" w:lineRule="auto"/>
        <w:ind w:left="0"/>
        <w:jc w:val="left"/>
      </w:pPr>
      <w:r>
        <w:rPr>
          <w:rFonts w:eastAsia="等线" w:ascii="Arial" w:cs="Arial" w:hAnsi="Arial"/>
          <w:sz w:val="22"/>
        </w:rPr>
        <w:t>Set a clear agenda for the call so they know exactly what to expect.</w:t>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b w:val="true"/>
          <w:sz w:val="22"/>
        </w:rPr>
        <w:t xml:space="preserve">BANT: The Framework for Quality Conversations </w:t>
      </w:r>
      <w:hyperlink r:id="rId5">
        <w:r>
          <w:rPr>
            <w:rFonts w:eastAsia="等线" w:ascii="Arial" w:cs="Arial" w:hAnsi="Arial"/>
            <w:b w:val="true"/>
            <w:color w:val="3370ff"/>
            <w:sz w:val="22"/>
          </w:rPr>
          <w:t>BANT Playbook</w:t>
        </w:r>
      </w:hyperlink>
    </w:p>
    <w:p>
      <w:pPr>
        <w:spacing w:before="120" w:after="120" w:line="288" w:lineRule="auto"/>
        <w:ind w:left="0"/>
        <w:jc w:val="left"/>
      </w:pPr>
      <w:r>
        <w:rPr>
          <w:rFonts w:eastAsia="等线" w:ascii="Arial" w:cs="Arial" w:hAnsi="Arial"/>
          <w:sz w:val="22"/>
        </w:rPr>
        <w:t xml:space="preserve">Once you have their attention, your next goal is to determine if they are a good fit for StoreHub. This is where the </w:t>
      </w:r>
      <w:r>
        <w:rPr>
          <w:rFonts w:eastAsia="等线" w:ascii="Arial" w:cs="Arial" w:hAnsi="Arial"/>
          <w:b w:val="true"/>
          <w:sz w:val="22"/>
        </w:rPr>
        <w:t>B.A.N.T.</w:t>
      </w:r>
      <w:r>
        <w:rPr>
          <w:rFonts w:eastAsia="等线" w:ascii="Arial" w:cs="Arial" w:hAnsi="Arial"/>
          <w:sz w:val="22"/>
        </w:rPr>
        <w:t xml:space="preserve"> framework comes in. BANT is a powerful tool used by top sales professionals worldwide to qualify leads efficiently and effectively. It ensures you are spending your valuable time with merchants who are most likely to benefit from our solution.</w:t>
      </w:r>
    </w:p>
    <w:p>
      <w:pPr>
        <w:spacing w:before="120" w:after="120" w:line="288" w:lineRule="auto"/>
        <w:ind w:left="0"/>
        <w:jc w:val="left"/>
      </w:pPr>
      <w:r>
        <w:rPr>
          <w:rFonts w:eastAsia="等线" w:ascii="Arial" w:cs="Arial" w:hAnsi="Arial"/>
          <w:sz w:val="22"/>
        </w:rPr>
        <w:t>We will explore each component in detail:</w:t>
      </w:r>
    </w:p>
    <w:p>
      <w:pPr>
        <w:numPr>
          <w:numId w:val="6"/>
        </w:numPr>
        <w:spacing w:before="120" w:after="120" w:line="288" w:lineRule="auto"/>
        <w:ind w:left="0"/>
        <w:jc w:val="left"/>
      </w:pPr>
      <w:r>
        <w:rPr>
          <w:rFonts w:eastAsia="等线" w:ascii="Arial" w:cs="Arial" w:hAnsi="Arial"/>
          <w:b w:val="true"/>
          <w:sz w:val="22"/>
        </w:rPr>
        <w:t>B - Budget:</w:t>
      </w:r>
      <w:r>
        <w:rPr>
          <w:rFonts w:eastAsia="等线" w:ascii="Arial" w:cs="Arial" w:hAnsi="Arial"/>
          <w:sz w:val="22"/>
        </w:rPr>
        <w:t xml:space="preserve"> Do they have the financial capacity for a solution like StoreHub?</w:t>
      </w:r>
    </w:p>
    <w:p>
      <w:pPr>
        <w:numPr>
          <w:numId w:val="7"/>
        </w:numPr>
        <w:spacing w:before="120" w:after="120" w:line="288" w:lineRule="auto"/>
        <w:ind w:left="0"/>
        <w:jc w:val="left"/>
      </w:pPr>
      <w:r>
        <w:rPr>
          <w:rFonts w:eastAsia="等线" w:ascii="Arial" w:cs="Arial" w:hAnsi="Arial"/>
          <w:b w:val="true"/>
          <w:sz w:val="22"/>
        </w:rPr>
        <w:t>A - Authority:</w:t>
      </w:r>
      <w:r>
        <w:rPr>
          <w:rFonts w:eastAsia="等线" w:ascii="Arial" w:cs="Arial" w:hAnsi="Arial"/>
          <w:sz w:val="22"/>
        </w:rPr>
        <w:t xml:space="preserve"> Are you speaking with the decision-maker who can say "yes"?</w:t>
      </w:r>
    </w:p>
    <w:p>
      <w:pPr>
        <w:numPr>
          <w:numId w:val="8"/>
        </w:numPr>
        <w:spacing w:before="120" w:after="120" w:line="288" w:lineRule="auto"/>
        <w:ind w:left="0"/>
        <w:jc w:val="left"/>
      </w:pPr>
      <w:r>
        <w:rPr>
          <w:rFonts w:eastAsia="等线" w:ascii="Arial" w:cs="Arial" w:hAnsi="Arial"/>
          <w:b w:val="true"/>
          <w:sz w:val="22"/>
        </w:rPr>
        <w:t>N - Need:</w:t>
      </w:r>
      <w:r>
        <w:rPr>
          <w:rFonts w:eastAsia="等线" w:ascii="Arial" w:cs="Arial" w:hAnsi="Arial"/>
          <w:sz w:val="22"/>
        </w:rPr>
        <w:t xml:space="preserve"> What are their biggest pain points, and how can StoreHub solve them?</w:t>
      </w:r>
    </w:p>
    <w:p>
      <w:pPr>
        <w:numPr>
          <w:numId w:val="9"/>
        </w:numPr>
        <w:spacing w:before="120" w:after="120" w:line="288" w:lineRule="auto"/>
        <w:ind w:left="0"/>
        <w:jc w:val="left"/>
      </w:pPr>
      <w:r>
        <w:rPr>
          <w:rFonts w:eastAsia="等线" w:ascii="Arial" w:cs="Arial" w:hAnsi="Arial"/>
          <w:b w:val="true"/>
          <w:sz w:val="22"/>
        </w:rPr>
        <w:t>T - Timeline:</w:t>
      </w:r>
      <w:r>
        <w:rPr>
          <w:rFonts w:eastAsia="等线" w:ascii="Arial" w:cs="Arial" w:hAnsi="Arial"/>
          <w:sz w:val="22"/>
        </w:rPr>
        <w:t xml:space="preserve"> How urgently do they need to find a solution?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By mastering the Intro and BANT, you are not just making a call; you are strategically steering a conversation towards a successful outcome- a qualified demo meeting for your Business Consultant.</w:t>
      </w:r>
    </w:p>
    <w:p>
      <w:pPr>
        <w:spacing w:before="120" w:after="120" w:line="288" w:lineRule="auto"/>
        <w:ind w:left="0"/>
        <w:jc w:val="left"/>
      </w:pPr>
    </w:p>
    <w:p>
      <w:pPr>
        <w:spacing w:before="120" w:after="120" w:line="288" w:lineRule="auto"/>
        <w:ind w:left="0"/>
        <w:jc w:val="left"/>
      </w:pPr>
      <w:r>
        <w:rPr>
          <w:rFonts w:eastAsia="等线" w:ascii="Arial" w:cs="Arial" w:hAnsi="Arial"/>
          <w:sz w:val="22"/>
        </w:rPr>
        <w:t>Of course! Here is the revised introduction for the "Full Call + BANT" module, now including the specific task you requested.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 w:id="1"/>
      <w:r>
        <w:rPr>
          <w:rFonts w:eastAsia="等线" w:ascii="Arial" w:cs="Arial" w:hAnsi="Arial"/>
          <w:b w:val="true"/>
          <w:color w:val="2ea121"/>
          <w:sz w:val="30"/>
        </w:rPr>
        <w:t>Your Task: Call Recording Assessment</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It's time to put theory into practice. Your task is to demonstrate your understanding of the call flow we've just discussed. Please follow the steps below carefully.</w:t>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b w:val="true"/>
          <w:sz w:val="22"/>
        </w:rPr>
        <w:t>Self-Study:</w:t>
      </w:r>
      <w:r>
        <w:rPr>
          <w:rFonts w:eastAsia="等线" w:ascii="Arial" w:cs="Arial" w:hAnsi="Arial"/>
          <w:sz w:val="22"/>
        </w:rPr>
        <w:t xml:space="preserve"> Review the </w:t>
      </w:r>
      <w:hyperlink r:id="rId6">
        <w:r>
          <w:rPr>
            <w:rFonts w:eastAsia="等线" w:ascii="Arial" w:cs="Arial" w:hAnsi="Arial"/>
            <w:color w:val="3370ff"/>
            <w:sz w:val="22"/>
          </w:rPr>
          <w:t>Inbound Call Flow.pptx</w:t>
        </w:r>
      </w:hyperlink>
      <w:r>
        <w:rPr>
          <w:rFonts w:eastAsia="等线" w:ascii="Arial" w:cs="Arial" w:hAnsi="Arial"/>
          <w:sz w:val="22"/>
        </w:rPr>
        <w:t xml:space="preserve"> slides provided to refresh your memory on the structure.</w:t>
      </w:r>
    </w:p>
    <w:p>
      <w:pPr>
        <w:numPr>
          <w:numId w:val="11"/>
        </w:numPr>
        <w:spacing w:before="120" w:after="120" w:line="288" w:lineRule="auto"/>
        <w:ind w:left="0"/>
        <w:jc w:val="left"/>
      </w:pPr>
      <w:r>
        <w:rPr>
          <w:rFonts w:eastAsia="等线" w:ascii="Arial" w:cs="Arial" w:hAnsi="Arial"/>
          <w:b w:val="true"/>
          <w:sz w:val="22"/>
        </w:rPr>
        <w:t>Scenario Selection:</w:t>
      </w:r>
      <w:r>
        <w:rPr>
          <w:rFonts w:eastAsia="等线" w:ascii="Arial" w:cs="Arial" w:hAnsi="Arial"/>
          <w:sz w:val="22"/>
        </w:rPr>
        <w:t xml:space="preserve"> Choose </w:t>
      </w:r>
      <w:r>
        <w:rPr>
          <w:rFonts w:eastAsia="等线" w:ascii="Arial" w:cs="Arial" w:hAnsi="Arial"/>
          <w:b w:val="true"/>
          <w:sz w:val="22"/>
        </w:rPr>
        <w:t xml:space="preserve">1 </w:t>
      </w:r>
      <w:r>
        <w:rPr>
          <w:rFonts w:eastAsia="等线" w:ascii="Arial" w:cs="Arial" w:hAnsi="Arial"/>
          <w:sz w:val="22"/>
        </w:rPr>
        <w:t xml:space="preserve">role-play scenario from either </w:t>
      </w:r>
      <w:r>
        <w:rPr>
          <w:rFonts w:eastAsia="等线" w:ascii="Arial" w:cs="Arial" w:hAnsi="Arial"/>
          <w:b w:val="true"/>
          <w:sz w:val="22"/>
        </w:rPr>
        <w:t>slide 12 or slide 13</w:t>
      </w:r>
      <w:r>
        <w:rPr>
          <w:rFonts w:eastAsia="等线" w:ascii="Arial" w:cs="Arial" w:hAnsi="Arial"/>
          <w:sz w:val="22"/>
        </w:rPr>
        <w:t>.</w:t>
      </w:r>
    </w:p>
    <w:p>
      <w:pPr>
        <w:numPr>
          <w:numId w:val="12"/>
        </w:numPr>
        <w:spacing w:before="120" w:after="120" w:line="288" w:lineRule="auto"/>
        <w:ind w:left="0"/>
        <w:jc w:val="left"/>
      </w:pPr>
      <w:r>
        <w:rPr>
          <w:rFonts w:eastAsia="等线" w:ascii="Arial" w:cs="Arial" w:hAnsi="Arial"/>
          <w:b w:val="true"/>
          <w:sz w:val="22"/>
        </w:rPr>
        <w:t>Record Your Call:</w:t>
      </w:r>
      <w:r>
        <w:rPr>
          <w:rFonts w:eastAsia="等线" w:ascii="Arial" w:cs="Arial" w:hAnsi="Arial"/>
          <w:sz w:val="22"/>
        </w:rPr>
        <w:t xml:space="preserve"> Use </w:t>
      </w:r>
      <w:r>
        <w:rPr>
          <w:rFonts w:eastAsia="等线" w:ascii="Arial" w:cs="Arial" w:hAnsi="Arial"/>
          <w:b w:val="true"/>
          <w:sz w:val="22"/>
        </w:rPr>
        <w:t>Lark Meeting</w:t>
      </w:r>
      <w:r>
        <w:rPr>
          <w:rFonts w:eastAsia="等线" w:ascii="Arial" w:cs="Arial" w:hAnsi="Arial"/>
          <w:sz w:val="22"/>
        </w:rPr>
        <w:t xml:space="preserve"> to record yourself performing the full call flow based on your chosen scenario.</w:t>
      </w:r>
    </w:p>
    <w:p>
      <w:pPr>
        <w:spacing w:before="120" w:after="120" w:line="288" w:lineRule="auto"/>
        <w:ind w:left="0"/>
        <w:jc w:val="left"/>
      </w:pPr>
      <w:r>
        <w:rPr>
          <w:rFonts w:eastAsia="等线" w:ascii="Arial" w:cs="Arial" w:hAnsi="Arial"/>
          <w:b w:val="true"/>
          <w:color w:val="646a73"/>
          <w:sz w:val="22"/>
        </w:rPr>
        <w:t>[Recording Steps.mov]</w:t>
      </w:r>
    </w:p>
    <w:tbl>
      <w:tblPr>
        <w:tblW w:w="0" w:type="auto"/>
        <w:tblInd w:w="0" w:type="dxa"/>
        <w:tblBorders>
          <w:top w:val="single" w:color="ad82f7"/>
          <w:left w:val="single" w:color="ad82f7"/>
          <w:bottom w:val="single" w:color="ad82f7"/>
          <w:right w:val="single" w:color="ad82f7"/>
          <w:insideH w:val="single" w:color="ad82f7"/>
          <w:insideV w:val="single" w:color="ad82f7"/>
        </w:tblBorders>
        <w:tblLayout w:type="fixed"/>
      </w:tblPr>
      <w:tblGrid>
        <w:gridCol w:w="8280"/>
      </w:tblGrid>
      <w:tr>
        <w:tc>
          <w:tcPr>
            <w:tcW w:w="8280" w:type="dxa"/>
            <w:shd w:color="auto" w:val="clear" w:fill="ece2fe"/>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Recording Steps as follows:</w:t>
            </w:r>
          </w:p>
          <w:p>
            <w:pPr>
              <w:numPr>
                <w:numId w:val="13"/>
              </w:numPr>
              <w:spacing w:before="120" w:after="120" w:line="288" w:lineRule="auto"/>
              <w:ind w:left="0"/>
              <w:jc w:val="left"/>
            </w:pPr>
            <w:r>
              <w:rPr>
                <w:rFonts w:eastAsia="等线" w:ascii="Arial" w:cs="Arial" w:hAnsi="Arial"/>
                <w:sz w:val="22"/>
              </w:rPr>
              <w:t>On Lark, click on  Meeting.</w:t>
            </w:r>
          </w:p>
          <w:p>
            <w:pPr>
              <w:numPr>
                <w:numId w:val="14"/>
              </w:numPr>
              <w:spacing w:before="120" w:after="120" w:line="288" w:lineRule="auto"/>
              <w:ind w:left="0"/>
              <w:jc w:val="left"/>
            </w:pPr>
            <w:r>
              <w:rPr>
                <w:rFonts w:eastAsia="等线" w:ascii="Arial" w:cs="Arial" w:hAnsi="Arial"/>
                <w:sz w:val="22"/>
              </w:rPr>
              <w:t>Click on New Meeting.</w:t>
            </w:r>
          </w:p>
          <w:p>
            <w:pPr>
              <w:numPr>
                <w:numId w:val="15"/>
              </w:numPr>
              <w:spacing w:before="120" w:after="120" w:line="288" w:lineRule="auto"/>
              <w:ind w:left="0"/>
              <w:jc w:val="left"/>
            </w:pPr>
            <w:r>
              <w:rPr>
                <w:rFonts w:eastAsia="等线" w:ascii="Arial" w:cs="Arial" w:hAnsi="Arial"/>
                <w:sz w:val="22"/>
              </w:rPr>
              <w:t>Key in your task title. E.g Full Call(F&amp;b)</w:t>
            </w:r>
          </w:p>
          <w:p>
            <w:pPr>
              <w:numPr>
                <w:numId w:val="16"/>
              </w:numPr>
              <w:spacing w:before="120" w:after="120" w:line="288" w:lineRule="auto"/>
              <w:ind w:left="0"/>
              <w:jc w:val="left"/>
            </w:pPr>
            <w:r>
              <w:rPr>
                <w:rFonts w:eastAsia="等线" w:ascii="Arial" w:cs="Arial" w:hAnsi="Arial"/>
                <w:sz w:val="22"/>
              </w:rPr>
              <w:t>Switch on Camera and unmute mic.</w:t>
            </w:r>
          </w:p>
          <w:p>
            <w:pPr>
              <w:numPr>
                <w:numId w:val="17"/>
              </w:numPr>
              <w:spacing w:before="120" w:after="120" w:line="288" w:lineRule="auto"/>
              <w:ind w:left="0"/>
              <w:jc w:val="left"/>
            </w:pPr>
            <w:r>
              <w:rPr>
                <w:rFonts w:eastAsia="等线" w:ascii="Arial" w:cs="Arial" w:hAnsi="Arial"/>
                <w:sz w:val="22"/>
              </w:rPr>
              <w:t>Ensure its recording.</w:t>
            </w:r>
          </w:p>
          <w:p>
            <w:pPr>
              <w:numPr>
                <w:numId w:val="18"/>
              </w:numPr>
              <w:spacing w:before="120" w:after="120" w:line="288" w:lineRule="auto"/>
              <w:ind w:left="0"/>
              <w:jc w:val="left"/>
            </w:pPr>
            <w:r>
              <w:rPr>
                <w:rFonts w:eastAsia="等线" w:ascii="Arial" w:cs="Arial" w:hAnsi="Arial"/>
                <w:sz w:val="22"/>
              </w:rPr>
              <w:t>Choose a desktop to share.</w:t>
            </w:r>
          </w:p>
          <w:p>
            <w:pPr>
              <w:numPr>
                <w:numId w:val="19"/>
              </w:numPr>
              <w:spacing w:before="120" w:after="120" w:line="288" w:lineRule="auto"/>
              <w:ind w:left="0"/>
              <w:jc w:val="left"/>
            </w:pPr>
            <w:r>
              <w:rPr>
                <w:rFonts w:eastAsia="等线" w:ascii="Arial" w:cs="Arial" w:hAnsi="Arial"/>
                <w:sz w:val="22"/>
              </w:rPr>
              <w:t>Click on Slideshow.</w:t>
            </w:r>
          </w:p>
          <w:p>
            <w:pPr>
              <w:numPr>
                <w:numId w:val="20"/>
              </w:numPr>
              <w:spacing w:before="120" w:after="120" w:line="288" w:lineRule="auto"/>
              <w:ind w:left="0"/>
              <w:jc w:val="left"/>
            </w:pPr>
            <w:r>
              <w:rPr>
                <w:rFonts w:eastAsia="等线" w:ascii="Arial" w:cs="Arial" w:hAnsi="Arial"/>
                <w:sz w:val="22"/>
              </w:rPr>
              <w:t>Start pitching.</w:t>
            </w:r>
          </w:p>
          <w:p>
            <w:pPr>
              <w:numPr>
                <w:numId w:val="21"/>
              </w:numPr>
              <w:spacing w:before="120" w:after="120" w:line="288" w:lineRule="auto"/>
              <w:ind w:left="0"/>
              <w:jc w:val="left"/>
            </w:pPr>
            <w:r>
              <w:rPr>
                <w:rFonts w:eastAsia="等线" w:ascii="Arial" w:cs="Arial" w:hAnsi="Arial"/>
                <w:sz w:val="22"/>
              </w:rPr>
              <w:t>Once done, click on stop presenting and end meeting.</w:t>
            </w:r>
          </w:p>
          <w:p>
            <w:pPr>
              <w:numPr>
                <w:numId w:val="22"/>
              </w:numPr>
              <w:spacing w:before="120" w:after="120" w:line="288" w:lineRule="auto"/>
              <w:ind w:left="0"/>
              <w:jc w:val="left"/>
            </w:pPr>
            <w:r>
              <w:rPr>
                <w:rFonts w:eastAsia="等线" w:ascii="Arial" w:cs="Arial" w:hAnsi="Arial"/>
                <w:sz w:val="22"/>
              </w:rPr>
              <w:t xml:space="preserve">Look for the recording in your History </w:t>
            </w:r>
            <w:r>
              <w:rPr>
                <w:rFonts w:eastAsia="等线" w:ascii="Arial" w:cs="Arial" w:hAnsi="Arial"/>
                <w:i w:val="true"/>
                <w:sz w:val="22"/>
              </w:rPr>
              <w:t>(wait for a few minutes for meeting to generate).</w:t>
            </w:r>
          </w:p>
          <w:p>
            <w:pPr>
              <w:numPr>
                <w:numId w:val="23"/>
              </w:numPr>
              <w:spacing w:before="120" w:after="120" w:line="288" w:lineRule="auto"/>
              <w:ind w:left="0"/>
              <w:jc w:val="left"/>
            </w:pPr>
            <w:r>
              <w:rPr>
                <w:rFonts w:eastAsia="等线" w:ascii="Arial" w:cs="Arial" w:hAnsi="Arial"/>
                <w:sz w:val="22"/>
              </w:rPr>
              <w:t>Click on the meeting video.</w:t>
            </w:r>
          </w:p>
          <w:p>
            <w:pPr>
              <w:numPr>
                <w:numId w:val="24"/>
              </w:numPr>
              <w:spacing w:before="120" w:after="120" w:line="288" w:lineRule="auto"/>
              <w:ind w:left="0"/>
              <w:jc w:val="left"/>
            </w:pPr>
            <w:r>
              <w:rPr>
                <w:rFonts w:eastAsia="等线" w:ascii="Arial" w:cs="Arial" w:hAnsi="Arial"/>
                <w:sz w:val="22"/>
              </w:rPr>
              <w:t>Click Share and key in your coach's name.</w:t>
            </w:r>
          </w:p>
          <w:p>
            <w:pPr>
              <w:numPr>
                <w:numId w:val="25"/>
              </w:numPr>
              <w:spacing w:before="120" w:after="120" w:line="288" w:lineRule="auto"/>
              <w:ind w:left="0"/>
              <w:jc w:val="left"/>
            </w:pPr>
            <w:r>
              <w:rPr>
                <w:rFonts w:eastAsia="等线" w:ascii="Arial" w:cs="Arial" w:hAnsi="Arial"/>
                <w:sz w:val="22"/>
              </w:rPr>
              <w:t>Click Send.</w:t>
            </w:r>
          </w:p>
        </w:tc>
      </w:tr>
    </w:tbl>
    <w:p>
      <w:pPr>
        <w:spacing w:before="120" w:after="120" w:line="288" w:lineRule="auto"/>
        <w:ind w:left="0"/>
        <w:jc w:val="left"/>
      </w:pPr>
    </w:p>
    <w:p>
      <w:pPr>
        <w:numPr>
          <w:numId w:val="26"/>
        </w:numPr>
        <w:spacing w:before="120" w:after="120" w:line="288" w:lineRule="auto"/>
        <w:ind w:left="0"/>
        <w:jc w:val="left"/>
      </w:pPr>
      <w:r>
        <w:rPr>
          <w:rFonts w:eastAsia="等线" w:ascii="Arial" w:cs="Arial" w:hAnsi="Arial"/>
          <w:b w:val="true"/>
          <w:sz w:val="22"/>
        </w:rPr>
        <w:t>Submission:</w:t>
      </w:r>
      <w:r>
        <w:rPr>
          <w:rFonts w:eastAsia="等线" w:ascii="Arial" w:cs="Arial" w:hAnsi="Arial"/>
          <w:sz w:val="22"/>
        </w:rPr>
        <w:t xml:space="preserve"> Share the final recording link with your Team Lead (TL) for evaluation and feedback.</w:t>
      </w:r>
    </w:p>
    <w:p>
      <w:pPr>
        <w:spacing w:before="120" w:after="120" w:line="288" w:lineRule="auto"/>
        <w:ind w:left="0"/>
        <w:jc w:val="left"/>
      </w:pP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ef1f1"/>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Important Note for Pairs:</w:t>
            </w:r>
            <w:r>
              <w:rPr>
                <w:rFonts w:eastAsia="等线" w:ascii="Arial" w:cs="Arial" w:hAnsi="Arial"/>
                <w:sz w:val="22"/>
              </w:rPr>
              <w:t xml:space="preserve"> If there are two of you in this training session, you will role-play together. Please ensure you each select a </w:t>
            </w:r>
            <w:r>
              <w:rPr>
                <w:rFonts w:eastAsia="等线" w:ascii="Arial" w:cs="Arial" w:hAnsi="Arial"/>
                <w:b w:val="true"/>
                <w:sz w:val="22"/>
              </w:rPr>
              <w:t>different</w:t>
            </w:r>
            <w:r>
              <w:rPr>
                <w:rFonts w:eastAsia="等线" w:ascii="Arial" w:cs="Arial" w:hAnsi="Arial"/>
                <w:sz w:val="22"/>
              </w:rPr>
              <w:t xml:space="preserve"> scenario for your respective roles</w:t>
            </w:r>
          </w:p>
        </w:tc>
      </w:tr>
    </w:tbl>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76621">
    <w:lvl>
      <w:start w:val="1"/>
      <w:numFmt w:val="decimal"/>
      <w:suff w:val="tab"/>
      <w:lvlText w:val="%1."/>
      <w:rPr>
        <w:color w:val="3370ff"/>
      </w:rPr>
    </w:lvl>
  </w:abstractNum>
  <w:abstractNum w:abstractNumId="76622">
    <w:lvl>
      <w:numFmt w:val="bullet"/>
      <w:suff w:val="tab"/>
      <w:lvlText w:val="•"/>
      <w:rPr>
        <w:color w:val="3370ff"/>
      </w:rPr>
    </w:lvl>
  </w:abstractNum>
  <w:abstractNum w:abstractNumId="76623">
    <w:lvl>
      <w:numFmt w:val="bullet"/>
      <w:suff w:val="tab"/>
      <w:lvlText w:val="•"/>
      <w:rPr>
        <w:color w:val="3370ff"/>
      </w:rPr>
    </w:lvl>
  </w:abstractNum>
  <w:abstractNum w:abstractNumId="76624">
    <w:lvl>
      <w:numFmt w:val="bullet"/>
      <w:suff w:val="tab"/>
      <w:lvlText w:val="•"/>
      <w:rPr>
        <w:color w:val="3370ff"/>
      </w:rPr>
    </w:lvl>
  </w:abstractNum>
  <w:abstractNum w:abstractNumId="76625">
    <w:lvl>
      <w:start w:val="2"/>
      <w:numFmt w:val="decimal"/>
      <w:suff w:val="tab"/>
      <w:lvlText w:val="%1."/>
      <w:rPr>
        <w:color w:val="3370ff"/>
      </w:rPr>
    </w:lvl>
  </w:abstractNum>
  <w:abstractNum w:abstractNumId="76626">
    <w:lvl>
      <w:numFmt w:val="bullet"/>
      <w:suff w:val="tab"/>
      <w:lvlText w:val="•"/>
      <w:rPr>
        <w:color w:val="3370ff"/>
      </w:rPr>
    </w:lvl>
  </w:abstractNum>
  <w:abstractNum w:abstractNumId="76627">
    <w:lvl>
      <w:numFmt w:val="bullet"/>
      <w:suff w:val="tab"/>
      <w:lvlText w:val="•"/>
      <w:rPr>
        <w:color w:val="3370ff"/>
      </w:rPr>
    </w:lvl>
  </w:abstractNum>
  <w:abstractNum w:abstractNumId="76628">
    <w:lvl>
      <w:numFmt w:val="bullet"/>
      <w:suff w:val="tab"/>
      <w:lvlText w:val="•"/>
      <w:rPr>
        <w:color w:val="3370ff"/>
      </w:rPr>
    </w:lvl>
  </w:abstractNum>
  <w:abstractNum w:abstractNumId="76629">
    <w:lvl>
      <w:numFmt w:val="bullet"/>
      <w:suff w:val="tab"/>
      <w:lvlText w:val="•"/>
      <w:rPr>
        <w:color w:val="3370ff"/>
      </w:rPr>
    </w:lvl>
  </w:abstractNum>
  <w:abstractNum w:abstractNumId="76630">
    <w:lvl>
      <w:start w:val="1"/>
      <w:numFmt w:val="decimal"/>
      <w:suff w:val="tab"/>
      <w:lvlText w:val="%1."/>
      <w:rPr>
        <w:color w:val="3370ff"/>
      </w:rPr>
    </w:lvl>
  </w:abstractNum>
  <w:abstractNum w:abstractNumId="76631">
    <w:lvl>
      <w:start w:val="2"/>
      <w:numFmt w:val="decimal"/>
      <w:suff w:val="tab"/>
      <w:lvlText w:val="%1."/>
      <w:rPr>
        <w:color w:val="3370ff"/>
      </w:rPr>
    </w:lvl>
  </w:abstractNum>
  <w:abstractNum w:abstractNumId="76632">
    <w:lvl>
      <w:start w:val="3"/>
      <w:numFmt w:val="decimal"/>
      <w:suff w:val="tab"/>
      <w:lvlText w:val="%1."/>
      <w:rPr>
        <w:color w:val="3370ff"/>
      </w:rPr>
    </w:lvl>
  </w:abstractNum>
  <w:abstractNum w:abstractNumId="76633">
    <w:lvl>
      <w:start w:val="1"/>
      <w:numFmt w:val="decimal"/>
      <w:suff w:val="tab"/>
      <w:lvlText w:val="%1."/>
      <w:rPr>
        <w:color w:val="3370ff"/>
      </w:rPr>
    </w:lvl>
  </w:abstractNum>
  <w:abstractNum w:abstractNumId="76634">
    <w:lvl>
      <w:start w:val="2"/>
      <w:numFmt w:val="decimal"/>
      <w:suff w:val="tab"/>
      <w:lvlText w:val="%1."/>
      <w:rPr>
        <w:color w:val="3370ff"/>
      </w:rPr>
    </w:lvl>
  </w:abstractNum>
  <w:abstractNum w:abstractNumId="76635">
    <w:lvl>
      <w:start w:val="3"/>
      <w:numFmt w:val="decimal"/>
      <w:suff w:val="tab"/>
      <w:lvlText w:val="%1."/>
      <w:rPr>
        <w:color w:val="3370ff"/>
      </w:rPr>
    </w:lvl>
  </w:abstractNum>
  <w:abstractNum w:abstractNumId="76636">
    <w:lvl>
      <w:start w:val="4"/>
      <w:numFmt w:val="decimal"/>
      <w:suff w:val="tab"/>
      <w:lvlText w:val="%1."/>
      <w:rPr>
        <w:color w:val="3370ff"/>
      </w:rPr>
    </w:lvl>
  </w:abstractNum>
  <w:abstractNum w:abstractNumId="76637">
    <w:lvl>
      <w:start w:val="5"/>
      <w:numFmt w:val="decimal"/>
      <w:suff w:val="tab"/>
      <w:lvlText w:val="%1."/>
      <w:rPr>
        <w:color w:val="3370ff"/>
      </w:rPr>
    </w:lvl>
  </w:abstractNum>
  <w:abstractNum w:abstractNumId="76638">
    <w:lvl>
      <w:start w:val="6"/>
      <w:numFmt w:val="decimal"/>
      <w:suff w:val="tab"/>
      <w:lvlText w:val="%1."/>
      <w:rPr>
        <w:color w:val="3370ff"/>
      </w:rPr>
    </w:lvl>
  </w:abstractNum>
  <w:abstractNum w:abstractNumId="76639">
    <w:lvl>
      <w:start w:val="7"/>
      <w:numFmt w:val="decimal"/>
      <w:suff w:val="tab"/>
      <w:lvlText w:val="%1."/>
      <w:rPr>
        <w:color w:val="3370ff"/>
      </w:rPr>
    </w:lvl>
  </w:abstractNum>
  <w:abstractNum w:abstractNumId="76640">
    <w:lvl>
      <w:start w:val="8"/>
      <w:numFmt w:val="decimal"/>
      <w:suff w:val="tab"/>
      <w:lvlText w:val="%1."/>
      <w:rPr>
        <w:color w:val="3370ff"/>
      </w:rPr>
    </w:lvl>
  </w:abstractNum>
  <w:abstractNum w:abstractNumId="76641">
    <w:lvl>
      <w:start w:val="9"/>
      <w:numFmt w:val="decimal"/>
      <w:suff w:val="tab"/>
      <w:lvlText w:val="%1."/>
      <w:rPr>
        <w:color w:val="3370ff"/>
      </w:rPr>
    </w:lvl>
  </w:abstractNum>
  <w:abstractNum w:abstractNumId="76642">
    <w:lvl>
      <w:start w:val="10"/>
      <w:numFmt w:val="decimal"/>
      <w:suff w:val="tab"/>
      <w:lvlText w:val="%1."/>
      <w:rPr>
        <w:color w:val="3370ff"/>
      </w:rPr>
    </w:lvl>
  </w:abstractNum>
  <w:abstractNum w:abstractNumId="76643">
    <w:lvl>
      <w:start w:val="11"/>
      <w:numFmt w:val="decimal"/>
      <w:suff w:val="tab"/>
      <w:lvlText w:val="%1."/>
      <w:rPr>
        <w:color w:val="3370ff"/>
      </w:rPr>
    </w:lvl>
  </w:abstractNum>
  <w:abstractNum w:abstractNumId="76644">
    <w:lvl>
      <w:start w:val="12"/>
      <w:numFmt w:val="decimal"/>
      <w:suff w:val="tab"/>
      <w:lvlText w:val="%1."/>
      <w:rPr>
        <w:color w:val="3370ff"/>
      </w:rPr>
    </w:lvl>
  </w:abstractNum>
  <w:abstractNum w:abstractNumId="76645">
    <w:lvl>
      <w:start w:val="13"/>
      <w:numFmt w:val="decimal"/>
      <w:suff w:val="tab"/>
      <w:lvlText w:val="%1."/>
      <w:rPr>
        <w:color w:val="3370ff"/>
      </w:rPr>
    </w:lvl>
  </w:abstractNum>
  <w:abstractNum w:abstractNumId="76646">
    <w:lvl>
      <w:start w:val="4"/>
      <w:numFmt w:val="decimal"/>
      <w:suff w:val="tab"/>
      <w:lvlText w:val="%1."/>
      <w:rPr>
        <w:color w:val="3370ff"/>
      </w:rPr>
    </w:lvl>
  </w:abstractNum>
  <w:num w:numId="1">
    <w:abstractNumId w:val="76621"/>
  </w:num>
  <w:num w:numId="2">
    <w:abstractNumId w:val="76622"/>
  </w:num>
  <w:num w:numId="3">
    <w:abstractNumId w:val="76623"/>
  </w:num>
  <w:num w:numId="4">
    <w:abstractNumId w:val="76624"/>
  </w:num>
  <w:num w:numId="5">
    <w:abstractNumId w:val="76625"/>
  </w:num>
  <w:num w:numId="6">
    <w:abstractNumId w:val="76626"/>
  </w:num>
  <w:num w:numId="7">
    <w:abstractNumId w:val="76627"/>
  </w:num>
  <w:num w:numId="8">
    <w:abstractNumId w:val="76628"/>
  </w:num>
  <w:num w:numId="9">
    <w:abstractNumId w:val="76629"/>
  </w:num>
  <w:num w:numId="10">
    <w:abstractNumId w:val="76630"/>
  </w:num>
  <w:num w:numId="11">
    <w:abstractNumId w:val="76631"/>
  </w:num>
  <w:num w:numId="12">
    <w:abstractNumId w:val="76632"/>
  </w:num>
  <w:num w:numId="13">
    <w:abstractNumId w:val="76633"/>
  </w:num>
  <w:num w:numId="14">
    <w:abstractNumId w:val="76634"/>
  </w:num>
  <w:num w:numId="15">
    <w:abstractNumId w:val="76635"/>
  </w:num>
  <w:num w:numId="16">
    <w:abstractNumId w:val="76636"/>
  </w:num>
  <w:num w:numId="17">
    <w:abstractNumId w:val="76637"/>
  </w:num>
  <w:num w:numId="18">
    <w:abstractNumId w:val="76638"/>
  </w:num>
  <w:num w:numId="19">
    <w:abstractNumId w:val="76639"/>
  </w:num>
  <w:num w:numId="20">
    <w:abstractNumId w:val="76640"/>
  </w:num>
  <w:num w:numId="21">
    <w:abstractNumId w:val="76641"/>
  </w:num>
  <w:num w:numId="22">
    <w:abstractNumId w:val="76642"/>
  </w:num>
  <w:num w:numId="23">
    <w:abstractNumId w:val="76643"/>
  </w:num>
  <w:num w:numId="24">
    <w:abstractNumId w:val="76644"/>
  </w:num>
  <w:num w:numId="25">
    <w:abstractNumId w:val="76645"/>
  </w:num>
  <w:num w:numId="26">
    <w:abstractNumId w:val="7664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storehub.sg.larksuite.com/wiki/WfSAwSn21iO6CPkWxtDlSr0ggoh?office_edit=1" TargetMode="External" Type="http://schemas.openxmlformats.org/officeDocument/2006/relationships/hyperlink"/><Relationship Id="rId6" Target="https://storehub.sg.larksuite.com/wiki/IrPQw6wfIiijeXkjpTQlH4omgxf?office_edit=1" TargetMode="External" Type="http://schemas.openxmlformats.org/officeDocument/2006/relationships/hyperlink"/><Relationship Id="rId7"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2026-01-13T03:32:25Z</dcterms:created>
  <dc:creator>Apache POI</dc:creator>
</cp:coreProperties>
</file>