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00FC5039">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rsidR="00FC5039">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r w:rsidR="00FC5039">
        <w:rPr>
          <w:rFonts w:ascii="Times New Roman" w:hAnsi="Times New Roman"/>
          <w:sz w:val="20"/>
          <w:szCs w:val="20"/>
        </w:rPr>
        <w:t>2</w:t>
      </w:r>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Grid Interpolator v.2</w:t>
      </w:r>
      <w:r w:rsidR="00BA14E3" w:rsidRPr="00BA14E3">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r w:rsidRPr="00000CDC">
        <w:rPr>
          <w:sz w:val="20"/>
          <w:szCs w:val="20"/>
        </w:rPr>
        <w:t xml:space="preserve">under the Contract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Ministry of Economic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rsidR="00000CDC" w:rsidRPr="00000CDC" w:rsidRDefault="00000CDC" w:rsidP="00000CDC">
      <w:pPr>
        <w:pStyle w:val="Paragrafoelenco"/>
        <w:numPr>
          <w:ilvl w:val="0"/>
          <w:numId w:val="37"/>
        </w:numPr>
        <w:jc w:val="both"/>
        <w:rPr>
          <w:sz w:val="20"/>
          <w:szCs w:val="20"/>
        </w:rPr>
      </w:pPr>
      <w:r w:rsidRPr="00000CDC">
        <w:rPr>
          <w:sz w:val="20"/>
          <w:szCs w:val="20"/>
        </w:rPr>
        <w:t xml:space="preserve">under the Contract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Ministry of Economic Development for the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 Reference </w:t>
      </w:r>
      <w:proofErr w:type="spellStart"/>
      <w:r w:rsidRPr="00000CDC">
        <w:rPr>
          <w:sz w:val="20"/>
          <w:szCs w:val="20"/>
        </w:rPr>
        <w:t>project</w:t>
      </w:r>
      <w:proofErr w:type="spellEnd"/>
      <w:r w:rsidRPr="00000CDC">
        <w:rPr>
          <w:sz w:val="20"/>
          <w:szCs w:val="20"/>
        </w:rPr>
        <w:t xml:space="preserve">: ‘A.5 - Sicurezza e vulnerabilità del sistema elettrico’, </w:t>
      </w:r>
      <w:proofErr w:type="spellStart"/>
      <w:r w:rsidRPr="00000CDC">
        <w:rPr>
          <w:sz w:val="20"/>
          <w:szCs w:val="20"/>
        </w:rPr>
        <w:t>Frigerio</w:t>
      </w:r>
      <w:proofErr w:type="spellEnd"/>
      <w:r w:rsidRPr="00000CDC">
        <w:rPr>
          <w:sz w:val="20"/>
          <w:szCs w:val="20"/>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B44B71">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r w:rsidR="00B44B71">
        <w:rPr>
          <w:rFonts w:ascii="Times New Roman" w:hAnsi="Times New Roman"/>
          <w:sz w:val="20"/>
          <w:szCs w:val="20"/>
        </w:rPr>
        <w:t xml:space="preserve"> The input file is a xyz file </w:t>
      </w:r>
      <w:r w:rsidR="00B44B71" w:rsidRPr="00B44B71">
        <w:rPr>
          <w:rFonts w:ascii="Times New Roman" w:hAnsi="Times New Roman"/>
          <w:sz w:val="20"/>
          <w:szCs w:val="20"/>
        </w:rPr>
        <w:t>(with two additional ad-hoc lines at the beginning). The output field is available in both the file formats xyz and DEM. This tool is also useful to post-proces</w:t>
      </w:r>
      <w:r w:rsidR="00B44B71">
        <w:rPr>
          <w:rFonts w:ascii="Times New Roman" w:hAnsi="Times New Roman"/>
          <w:sz w:val="20"/>
          <w:szCs w:val="20"/>
        </w:rPr>
        <w:t xml:space="preserve">s the 2D fields of the maximum </w:t>
      </w:r>
      <w:r w:rsidR="00B44B71" w:rsidRPr="00B44B71">
        <w:rPr>
          <w:rFonts w:ascii="Times New Roman" w:hAnsi="Times New Roman"/>
          <w:sz w:val="20"/>
          <w:szCs w:val="20"/>
        </w:rPr>
        <w:t>specific height and the maximum water depth as estimated by SPHERA v.</w:t>
      </w:r>
      <w:r w:rsidR="00000CDC">
        <w:rPr>
          <w:rFonts w:ascii="Times New Roman" w:hAnsi="Times New Roman"/>
          <w:sz w:val="20"/>
          <w:szCs w:val="20"/>
        </w:rPr>
        <w:t>9</w:t>
      </w:r>
      <w:r w:rsidR="00B44B71" w:rsidRPr="00B44B71">
        <w:rPr>
          <w:rFonts w:ascii="Times New Roman" w:hAnsi="Times New Roman"/>
          <w:sz w:val="20"/>
          <w:szCs w:val="20"/>
        </w:rPr>
        <w:t>.0</w:t>
      </w:r>
      <w:r w:rsidR="00000CDC">
        <w:rPr>
          <w:rFonts w:ascii="Times New Roman" w:hAnsi="Times New Roman"/>
          <w:sz w:val="20"/>
          <w:szCs w:val="20"/>
        </w:rPr>
        <w:t>.0</w:t>
      </w:r>
      <w:r w:rsidR="00B44B71" w:rsidRPr="00B44B71">
        <w:rPr>
          <w:rFonts w:ascii="Times New Roman" w:hAnsi="Times New Roman"/>
          <w:sz w:val="20"/>
          <w:szCs w:val="20"/>
        </w:rPr>
        <w:t xml:space="preserve"> (RSE </w:t>
      </w:r>
      <w:proofErr w:type="spellStart"/>
      <w:r w:rsidR="00B44B71" w:rsidRPr="00B44B71">
        <w:rPr>
          <w:rFonts w:ascii="Times New Roman" w:hAnsi="Times New Roman"/>
          <w:sz w:val="20"/>
          <w:szCs w:val="20"/>
        </w:rPr>
        <w:t>SpA</w:t>
      </w:r>
      <w:proofErr w:type="spellEnd"/>
      <w:r w:rsidR="00B44B71" w:rsidRPr="00B44B71">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000CDC">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44B71" w:rsidRDefault="00B44B71" w:rsidP="007D2B2E">
      <w:pPr>
        <w:spacing w:after="0" w:line="240" w:lineRule="auto"/>
        <w:jc w:val="both"/>
        <w:rPr>
          <w:rFonts w:ascii="Times New Roman" w:hAnsi="Times New Roman"/>
          <w:sz w:val="20"/>
          <w:szCs w:val="20"/>
        </w:rPr>
      </w:pPr>
      <w:r>
        <w:rPr>
          <w:rFonts w:ascii="Times New Roman" w:hAnsi="Times New Roman"/>
          <w:sz w:val="20"/>
          <w:szCs w:val="20"/>
        </w:rPr>
        <w:t>Two additional lines are reported at the beginning of the xyz input file “</w:t>
      </w:r>
      <w:proofErr w:type="spellStart"/>
      <w:r>
        <w:rPr>
          <w:rFonts w:ascii="Times New Roman" w:hAnsi="Times New Roman"/>
          <w:sz w:val="20"/>
          <w:szCs w:val="20"/>
        </w:rPr>
        <w:t>input_field.prn</w:t>
      </w:r>
      <w:proofErr w:type="spellEnd"/>
      <w:r>
        <w:rPr>
          <w:rFonts w:ascii="Times New Roman" w:hAnsi="Times New Roman"/>
          <w:sz w:val="20"/>
          <w:szCs w:val="20"/>
        </w:rPr>
        <w:t>”, as in the following example:</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z_min</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x_max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y_max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z_max</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dx_out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dy_out</w:t>
      </w:r>
      <w:proofErr w:type="spellEnd"/>
      <w:r w:rsidRPr="00B44B71">
        <w:rPr>
          <w:rFonts w:ascii="Times New Roman" w:hAnsi="Times New Roman"/>
          <w:sz w:val="20"/>
          <w:szCs w:val="20"/>
        </w:rPr>
        <w:t xml:space="preserve">      </w:t>
      </w:r>
      <w:proofErr w:type="spellStart"/>
      <w:r w:rsidRPr="00B44B71">
        <w:rPr>
          <w:rFonts w:ascii="Times New Roman" w:hAnsi="Times New Roman"/>
          <w:sz w:val="20"/>
          <w:szCs w:val="20"/>
        </w:rPr>
        <w:t>dz_out</w:t>
      </w:r>
      <w:proofErr w:type="spellEnd"/>
      <w:r w:rsidRPr="00B44B71">
        <w:rPr>
          <w:rFonts w:ascii="Times New Roman" w:hAnsi="Times New Roman"/>
          <w:sz w:val="20"/>
          <w:szCs w:val="20"/>
        </w:rPr>
        <w:cr/>
        <w:t xml:space="preserve">       21822  1152.77000    71.07100     0.00000 25779.70000  9926.20000     1.00000     9.47609     9.47609     1.00000</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with the following parameter definition: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n_points_in</w:t>
      </w:r>
      <w:proofErr w:type="spellEnd"/>
      <w:r>
        <w:rPr>
          <w:rFonts w:ascii="Times New Roman" w:hAnsi="Times New Roman"/>
          <w:sz w:val="20"/>
          <w:szCs w:val="20"/>
        </w:rPr>
        <w:t>: number of points in the input file;</w:t>
      </w:r>
    </w:p>
    <w:p w:rsidR="00B44B71" w:rsidRP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x_min</w:t>
      </w:r>
      <w:proofErr w:type="spellEnd"/>
      <w:r w:rsidRPr="00B44B71">
        <w:rPr>
          <w:rFonts w:ascii="Times New Roman" w:hAnsi="Times New Roman"/>
          <w:sz w:val="20"/>
          <w:szCs w:val="20"/>
        </w:rPr>
        <w:t>: minimum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y_min</w:t>
      </w:r>
      <w:proofErr w:type="spellEnd"/>
      <w:r w:rsidRPr="00B44B71">
        <w:rPr>
          <w:rFonts w:ascii="Times New Roman" w:hAnsi="Times New Roman"/>
          <w:sz w:val="20"/>
          <w:szCs w:val="20"/>
          <w:lang w:val="fr-FR"/>
        </w:rPr>
        <w:t>: minimum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z_min</w:t>
      </w:r>
      <w:proofErr w:type="spellEnd"/>
      <w:r w:rsidRPr="00B44B71">
        <w:rPr>
          <w:rFonts w:ascii="Times New Roman" w:hAnsi="Times New Roman"/>
          <w:sz w:val="20"/>
          <w:szCs w:val="20"/>
          <w:lang w:val="fr-FR"/>
        </w:rPr>
        <w:t>: minimum z-</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x_max</w:t>
      </w:r>
      <w:proofErr w:type="spellEnd"/>
      <w:r>
        <w:rPr>
          <w:rFonts w:ascii="Times New Roman" w:hAnsi="Times New Roman"/>
          <w:sz w:val="20"/>
          <w:szCs w:val="20"/>
        </w:rPr>
        <w:t>: maximum x-coordinate;</w:t>
      </w:r>
    </w:p>
    <w:p w:rsidR="00B44B71" w:rsidRPr="00B44B71" w:rsidRDefault="00B44B71" w:rsidP="00B44B71">
      <w:pPr>
        <w:spacing w:after="0" w:line="240" w:lineRule="auto"/>
        <w:ind w:left="720"/>
        <w:jc w:val="both"/>
        <w:rPr>
          <w:rFonts w:ascii="Times New Roman" w:hAnsi="Times New Roman"/>
          <w:sz w:val="20"/>
          <w:szCs w:val="20"/>
          <w:lang w:val="fr-FR"/>
        </w:rPr>
      </w:pPr>
      <w:proofErr w:type="spellStart"/>
      <w:r w:rsidRPr="00B44B71">
        <w:rPr>
          <w:rFonts w:ascii="Times New Roman" w:hAnsi="Times New Roman"/>
          <w:sz w:val="20"/>
          <w:szCs w:val="20"/>
          <w:lang w:val="fr-FR"/>
        </w:rPr>
        <w:t>y_max</w:t>
      </w:r>
      <w:proofErr w:type="spellEnd"/>
      <w:r w:rsidRPr="00B44B71">
        <w:rPr>
          <w:rFonts w:ascii="Times New Roman" w:hAnsi="Times New Roman"/>
          <w:sz w:val="20"/>
          <w:szCs w:val="20"/>
          <w:lang w:val="fr-FR"/>
        </w:rPr>
        <w:t>: maximum y-</w:t>
      </w:r>
      <w:proofErr w:type="spellStart"/>
      <w:r w:rsidRPr="00B44B71">
        <w:rPr>
          <w:rFonts w:ascii="Times New Roman" w:hAnsi="Times New Roman"/>
          <w:sz w:val="20"/>
          <w:szCs w:val="20"/>
          <w:lang w:val="fr-FR"/>
        </w:rPr>
        <w:t>coordinate</w:t>
      </w:r>
      <w:proofErr w:type="spellEnd"/>
      <w:r w:rsidRPr="00B44B71">
        <w:rPr>
          <w:rFonts w:ascii="Times New Roman" w:hAnsi="Times New Roman"/>
          <w:sz w:val="20"/>
          <w:szCs w:val="20"/>
          <w:lang w:val="fr-FR"/>
        </w:rPr>
        <w:t>;</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z_max</w:t>
      </w:r>
      <w:proofErr w:type="spellEnd"/>
      <w:r>
        <w:rPr>
          <w:rFonts w:ascii="Times New Roman" w:hAnsi="Times New Roman"/>
          <w:sz w:val="20"/>
          <w:szCs w:val="20"/>
        </w:rPr>
        <w:t>: maximum z-coordinate;</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dx_out</w:t>
      </w:r>
      <w:proofErr w:type="spellEnd"/>
      <w:r>
        <w:rPr>
          <w:rFonts w:ascii="Times New Roman" w:hAnsi="Times New Roman"/>
          <w:sz w:val="20"/>
          <w:szCs w:val="20"/>
        </w:rPr>
        <w:t>: spatial resolution of the output field along the x-axis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dy_out</w:t>
      </w:r>
      <w:proofErr w:type="spellEnd"/>
      <w:r>
        <w:rPr>
          <w:rFonts w:ascii="Times New Roman" w:hAnsi="Times New Roman"/>
          <w:sz w:val="20"/>
          <w:szCs w:val="20"/>
        </w:rPr>
        <w:t>: spatial resolution of the output field along the y-axis direction;</w:t>
      </w:r>
    </w:p>
    <w:p w:rsidR="00B44B71" w:rsidRDefault="00B44B71" w:rsidP="00B44B71">
      <w:pPr>
        <w:spacing w:after="0" w:line="240" w:lineRule="auto"/>
        <w:ind w:left="720"/>
        <w:jc w:val="both"/>
        <w:rPr>
          <w:rFonts w:ascii="Times New Roman" w:hAnsi="Times New Roman"/>
          <w:sz w:val="20"/>
          <w:szCs w:val="20"/>
        </w:rPr>
      </w:pPr>
      <w:proofErr w:type="spellStart"/>
      <w:r w:rsidRPr="00B44B71">
        <w:rPr>
          <w:rFonts w:ascii="Times New Roman" w:hAnsi="Times New Roman"/>
          <w:sz w:val="20"/>
          <w:szCs w:val="20"/>
        </w:rPr>
        <w:t>dz_out</w:t>
      </w:r>
      <w:proofErr w:type="spellEnd"/>
      <w:r>
        <w:rPr>
          <w:rFonts w:ascii="Times New Roman" w:hAnsi="Times New Roman"/>
          <w:sz w:val="20"/>
          <w:szCs w:val="20"/>
        </w:rPr>
        <w:t>: spatial resolution of the output field along the z-axis direction.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The format of the first additional line does not alter the tool execution.</w:t>
      </w:r>
    </w:p>
    <w:p w:rsidR="00B44B71" w:rsidRDefault="00B44B71" w:rsidP="00B44B71">
      <w:pPr>
        <w:spacing w:after="0" w:line="240" w:lineRule="auto"/>
        <w:jc w:val="both"/>
        <w:rPr>
          <w:rFonts w:ascii="Times New Roman" w:hAnsi="Times New Roman"/>
          <w:sz w:val="20"/>
          <w:szCs w:val="20"/>
        </w:rPr>
      </w:pPr>
      <w:r>
        <w:rPr>
          <w:rFonts w:ascii="Times New Roman" w:hAnsi="Times New Roman"/>
          <w:sz w:val="20"/>
          <w:szCs w:val="20"/>
        </w:rPr>
        <w:t>Fortran format specifier of the second additional line is ‘(</w:t>
      </w:r>
      <w:r w:rsidRPr="00B44B71">
        <w:rPr>
          <w:rFonts w:ascii="Times New Roman" w:hAnsi="Times New Roman"/>
          <w:sz w:val="20"/>
          <w:szCs w:val="20"/>
        </w:rPr>
        <w:t>i12,9(g12.5)</w:t>
      </w:r>
      <w:r>
        <w:rPr>
          <w:rFonts w:ascii="Times New Roman" w:hAnsi="Times New Roman"/>
          <w:sz w:val="20"/>
          <w:szCs w:val="20"/>
        </w:rPr>
        <w:t>)’ .</w:t>
      </w: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Default="00F90CBE" w:rsidP="00B44B71">
      <w:pPr>
        <w:spacing w:after="0" w:line="240" w:lineRule="auto"/>
        <w:jc w:val="both"/>
        <w:rPr>
          <w:rFonts w:ascii="Times New Roman" w:hAnsi="Times New Roman"/>
          <w:sz w:val="20"/>
          <w:szCs w:val="20"/>
        </w:rPr>
      </w:pP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4" w:name="_Ref521064938"/>
      <w:bookmarkStart w:id="5" w:name="_Toc521070849"/>
      <w:r w:rsidRPr="009B6326">
        <w:rPr>
          <w:rFonts w:ascii="Times New Roman" w:hAnsi="Times New Roman"/>
          <w:bCs w:val="0"/>
          <w:i w:val="0"/>
          <w:iCs w:val="0"/>
          <w:sz w:val="24"/>
          <w:szCs w:val="24"/>
        </w:rPr>
        <w:lastRenderedPageBreak/>
        <w:t>Tutorials</w:t>
      </w:r>
      <w:bookmarkEnd w:id="4"/>
      <w:bookmarkEnd w:id="5"/>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Grid Interpolator v.2.0 is validated on 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6"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completely described in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6"/>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494289">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7" w:name="_Toc521070886"/>
      <w:bookmarkStart w:id="8" w:name="_Ref520373754"/>
      <w:r w:rsidRPr="000030FC">
        <w:rPr>
          <w:rFonts w:ascii="Times New Roman" w:hAnsi="Times New Roman"/>
          <w:bCs w:val="0"/>
          <w:i w:val="0"/>
          <w:iCs w:val="0"/>
          <w:sz w:val="24"/>
          <w:szCs w:val="24"/>
        </w:rPr>
        <w:t>References</w:t>
      </w:r>
      <w:bookmarkEnd w:id="7"/>
    </w:p>
    <w:p w:rsidR="00F90CBE" w:rsidRDefault="00F90CBE" w:rsidP="00F90CBE">
      <w:pPr>
        <w:pStyle w:val="Paragrafoelenco"/>
        <w:numPr>
          <w:ilvl w:val="0"/>
          <w:numId w:val="38"/>
        </w:numPr>
        <w:jc w:val="both"/>
        <w:rPr>
          <w:sz w:val="20"/>
        </w:rPr>
      </w:pPr>
      <w:bookmarkStart w:id="9" w:name="_Ref520967512"/>
      <w:bookmarkStart w:id="10" w:name="_Ref521406204"/>
      <w:r w:rsidRPr="0007749D">
        <w:rPr>
          <w:sz w:val="20"/>
        </w:rPr>
        <w:t>Amicarelli A., 2018; Modellazione fluidodinamica SPH 3D per la propagazione di 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9"/>
    </w:p>
    <w:p w:rsidR="00F90CBE" w:rsidRPr="0057550C" w:rsidRDefault="00F90CBE" w:rsidP="00F90CBE">
      <w:pPr>
        <w:pStyle w:val="Paragrafoelenco"/>
        <w:numPr>
          <w:ilvl w:val="0"/>
          <w:numId w:val="38"/>
        </w:numPr>
        <w:jc w:val="both"/>
        <w:rPr>
          <w:sz w:val="20"/>
        </w:rPr>
      </w:pPr>
      <w:bookmarkStart w:id="11"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8"/>
      <w:bookmarkEnd w:id="10"/>
      <w:bookmarkEnd w:id="11"/>
    </w:p>
    <w:p w:rsidR="00F90CBE" w:rsidRDefault="00F90CBE" w:rsidP="00F90CBE">
      <w:pPr>
        <w:pStyle w:val="Paragrafoelenco"/>
        <w:numPr>
          <w:ilvl w:val="0"/>
          <w:numId w:val="38"/>
        </w:numPr>
        <w:jc w:val="both"/>
        <w:rPr>
          <w:sz w:val="20"/>
        </w:rPr>
      </w:pPr>
      <w:bookmarkStart w:id="12"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2"/>
    </w:p>
    <w:p w:rsidR="00F90CBE" w:rsidRDefault="00F90CBE" w:rsidP="00B44B71">
      <w:pPr>
        <w:spacing w:after="0" w:line="240" w:lineRule="auto"/>
        <w:jc w:val="both"/>
        <w:rPr>
          <w:rFonts w:ascii="Times New Roman" w:hAnsi="Times New Roman"/>
          <w:sz w:val="20"/>
          <w:szCs w:val="20"/>
        </w:rPr>
      </w:pPr>
      <w:bookmarkStart w:id="13" w:name="_GoBack"/>
      <w:bookmarkEnd w:id="13"/>
    </w:p>
    <w:sectPr w:rsidR="00F90C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94289"/>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221D-A804-4323-9C52-BBEC54FC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Pages>
  <Words>800</Words>
  <Characters>4561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106</cp:revision>
  <cp:lastPrinted>2018-08-08T06:40:00Z</cp:lastPrinted>
  <dcterms:created xsi:type="dcterms:W3CDTF">2015-08-26T07:54:00Z</dcterms:created>
  <dcterms:modified xsi:type="dcterms:W3CDTF">2018-08-08T06:40:00Z</dcterms:modified>
</cp:coreProperties>
</file>