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68F5628F" w:rsidR="002D54B3" w:rsidRPr="00EA1BAA" w:rsidRDefault="00EA1BAA"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1</w:t>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sidRPr="005D445F">
        <w:rPr>
          <w:rFonts w:ascii="Titillium Web" w:eastAsia="Titillium Web" w:hAnsi="Titillium Web" w:cs="Titillium Web"/>
          <w:color w:val="000000" w:themeColor="text1"/>
          <w:sz w:val="24"/>
          <w:szCs w:val="24"/>
        </w:rPr>
        <w:t>Girolamo</w:t>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sidRPr="005D445F">
        <w:rPr>
          <w:rFonts w:ascii="Titillium Web" w:eastAsia="Titillium Web" w:hAnsi="Titillium Web" w:cs="Titillium Web"/>
          <w:color w:val="000000" w:themeColor="text1"/>
          <w:sz w:val="24"/>
          <w:szCs w:val="24"/>
        </w:rPr>
        <w:t>Chiddo</w:t>
      </w:r>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6457A3F5" w14:textId="19290245" w:rsidR="000868E1" w:rsidRDefault="000868E1" w:rsidP="000868E1">
      <w:pPr>
        <w:pStyle w:val="Standard"/>
        <w:ind w:left="708"/>
        <w:rPr>
          <w:rFonts w:ascii="Titillium Web" w:eastAsia="Titillium Web" w:hAnsi="Titillium Web" w:cs="Titillium Web"/>
          <w:b/>
          <w:sz w:val="24"/>
        </w:rPr>
      </w:pPr>
      <w:r w:rsidRPr="000868E1">
        <w:rPr>
          <w:rFonts w:ascii="Titillium Web" w:eastAsia="Titillium Web" w:hAnsi="Titillium Web" w:cs="Titillium Web"/>
          <w:color w:val="999999"/>
          <w:sz w:val="20"/>
        </w:rPr>
        <w:t>[</w:t>
      </w:r>
      <w:r w:rsidRPr="000868E1">
        <w:rPr>
          <w:rFonts w:ascii="Titillium Web" w:eastAsia="Titillium Web" w:hAnsi="Titillium Web" w:cs="Titillium Web"/>
          <w:b/>
          <w:sz w:val="24"/>
        </w:rPr>
        <w:t xml:space="preserve"> </w:t>
      </w:r>
      <w:hyperlink r:id="rId7" w:history="1">
        <w:r w:rsidRPr="009E6CAA">
          <w:rPr>
            <w:rStyle w:val="Collegamentoipertestuale"/>
            <w:sz w:val="20"/>
          </w:rPr>
          <w:t>https://www.unipg.it/didattica/corsi-di-laurea-e-laurea-magistrale/archivio/offerta-formativa-2021-22?view=elencocorsi&amp;idcorso=226&amp;annoregolamento=2021&amp;tab=PRE</w:t>
        </w:r>
      </w:hyperlink>
      <w:r>
        <w:rPr>
          <w:rFonts w:ascii="Titillium Web" w:eastAsia="Titillium Web" w:hAnsi="Titillium Web" w:cs="Titillium Web"/>
          <w:b/>
          <w:sz w:val="24"/>
        </w:rPr>
        <w:t xml:space="preserve"> </w:t>
      </w:r>
      <w:r>
        <w:rPr>
          <w:rFonts w:ascii="Titillium Web" w:eastAsia="Titillium Web" w:hAnsi="Titillium Web" w:cs="Titillium Web"/>
          <w:color w:val="999999"/>
          <w:sz w:val="20"/>
        </w:rPr>
        <w:t>]</w:t>
      </w:r>
    </w:p>
    <w:p w14:paraId="583FE91A" w14:textId="1B8F525E"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154B2F8A" w14:textId="2E0406D2" w:rsidR="008F5764" w:rsidRDefault="008F5764" w:rsidP="00DF13B5">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 xml:space="preserve">Non ha avuta nessuna </w:t>
      </w:r>
      <w:r w:rsidR="00DF13B5" w:rsidRPr="008F5764">
        <w:rPr>
          <w:rFonts w:ascii="Titillium Web" w:eastAsia="Titillium Web" w:hAnsi="Titillium Web" w:cs="Titillium Web"/>
          <w:color w:val="auto"/>
          <w:kern w:val="0"/>
          <w:sz w:val="24"/>
          <w:szCs w:val="24"/>
          <w:lang w:val="it"/>
        </w:rPr>
        <w:t>difficoltà</w:t>
      </w:r>
      <w:r w:rsidRPr="008F5764">
        <w:rPr>
          <w:rFonts w:ascii="Titillium Web" w:eastAsia="Titillium Web" w:hAnsi="Titillium Web" w:cs="Titillium Web"/>
          <w:color w:val="auto"/>
          <w:kern w:val="0"/>
          <w:sz w:val="24"/>
          <w:szCs w:val="24"/>
          <w:lang w:val="it"/>
        </w:rPr>
        <w:t>. Ha raggiunto la pagina immediatamente.</w:t>
      </w:r>
    </w:p>
    <w:p w14:paraId="365A0E0F" w14:textId="265B02E3" w:rsidR="008F5764" w:rsidRDefault="008F5764" w:rsidP="00D25F5B">
      <w:pPr>
        <w:pStyle w:val="Standard"/>
        <w:rPr>
          <w:rFonts w:ascii="Titillium Web" w:eastAsia="Titillium Web" w:hAnsi="Titillium Web" w:cs="Titillium Web"/>
          <w:color w:val="auto"/>
          <w:kern w:val="0"/>
          <w:sz w:val="24"/>
          <w:szCs w:val="24"/>
          <w:lang w:val="it"/>
        </w:rPr>
      </w:pPr>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0868E1" w:rsidRDefault="00FC0C2D" w:rsidP="00D25F5B">
      <w:pPr>
        <w:pStyle w:val="Titolo"/>
        <w:rPr>
          <w:rFonts w:ascii="Arial" w:eastAsia="Arial" w:hAnsi="Arial" w:cs="Arial"/>
          <w:b/>
          <w:bCs/>
          <w:color w:val="000000"/>
          <w:spacing w:val="0"/>
          <w:kern w:val="3"/>
          <w:sz w:val="32"/>
          <w:szCs w:val="32"/>
          <w:u w:val="single"/>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06F1E30" w14:textId="29C8F82F" w:rsidR="00DF13B5" w:rsidRDefault="00DF13B5" w:rsidP="00DF13B5">
      <w:pPr>
        <w:ind w:left="708"/>
        <w:rPr>
          <w:rFonts w:ascii="Titillium Web" w:eastAsia="Titillium Web" w:hAnsi="Titillium Web" w:cs="Titillium Web"/>
          <w:sz w:val="24"/>
          <w:szCs w:val="24"/>
        </w:rPr>
      </w:pPr>
      <w:r w:rsidRPr="00DF13B5">
        <w:rPr>
          <w:rFonts w:ascii="Titillium Web" w:eastAsia="Titillium Web" w:hAnsi="Titillium Web" w:cs="Titillium Web"/>
          <w:sz w:val="24"/>
          <w:szCs w:val="24"/>
        </w:rPr>
        <w:t xml:space="preserve">Il partecipante ha avuto difficoltà nel raggiungere il percorso richiesto a causa della ridondanza tra la voce Ateneo e Didattica (barra superiore). Credeva di trovare le informazioni richieste nella sezione Ateneo. </w:t>
      </w:r>
    </w:p>
    <w:p w14:paraId="24DDB512" w14:textId="7CE54F2E"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Ateneo-&gt; Bandi di Gara e Contratti-&gt; Elenco Fornitori (PDF)-&gt; Concorsi-&gt; Home-&gt; Barra di Ricerca (Search Engine)-&gt; Home-&gt; Sportello Studente (Home in basso)-&gt; Outgoing-&gt; Altri Bandi e Opportunit</w:t>
      </w:r>
      <w:r w:rsidR="004E50F6">
        <w:rPr>
          <w:rFonts w:ascii="Titillium Web" w:eastAsia="Titillium Web" w:hAnsi="Titillium Web" w:cs="Titillium Web"/>
          <w:color w:val="999999"/>
          <w:kern w:val="3"/>
          <w:sz w:val="20"/>
          <w:lang w:val="en-US"/>
        </w:rPr>
        <w:t>à</w:t>
      </w:r>
      <w:r w:rsidR="00DF13B5" w:rsidRPr="00994C5E">
        <w:rPr>
          <w:rFonts w:ascii="Titillium Web" w:eastAsia="Titillium Web" w:hAnsi="Titillium Web" w:cs="Titillium Web"/>
          <w:color w:val="999999"/>
          <w:kern w:val="3"/>
          <w:sz w:val="20"/>
          <w:lang w:val="en-US"/>
        </w:rPr>
        <w:t>-&gt; Bandi e News-&gt;</w:t>
      </w: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 xml:space="preserve">Servizi -&gt;Job </w:t>
      </w:r>
      <w:proofErr w:type="gramStart"/>
      <w:r w:rsidR="00DF13B5" w:rsidRPr="00994C5E">
        <w:rPr>
          <w:rFonts w:ascii="Titillium Web" w:eastAsia="Titillium Web" w:hAnsi="Titillium Web" w:cs="Titillium Web"/>
          <w:color w:val="999999"/>
          <w:kern w:val="3"/>
          <w:sz w:val="20"/>
          <w:lang w:val="en-US"/>
        </w:rPr>
        <w:t>Placement</w:t>
      </w:r>
      <w:r>
        <w:rPr>
          <w:rFonts w:ascii="Titillium Web" w:eastAsia="Titillium Web" w:hAnsi="Titillium Web" w:cs="Titillium Web"/>
          <w:color w:val="999999"/>
          <w:kern w:val="3"/>
          <w:sz w:val="20"/>
          <w:lang w:val="en-US"/>
        </w:rPr>
        <w:t xml:space="preserve"> ]</w:t>
      </w:r>
      <w:proofErr w:type="gramEnd"/>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604D483" w14:textId="6B4D5110" w:rsidR="00994C5E" w:rsidRDefault="004E50F6" w:rsidP="004E50F6">
      <w:pPr>
        <w:ind w:left="708"/>
        <w:rPr>
          <w:rFonts w:ascii="Titillium Web" w:eastAsia="Titillium Web" w:hAnsi="Titillium Web" w:cs="Titillium Web"/>
          <w:sz w:val="24"/>
          <w:szCs w:val="24"/>
        </w:rPr>
      </w:pPr>
      <w:r w:rsidRPr="004E50F6">
        <w:rPr>
          <w:rFonts w:ascii="Titillium Web" w:eastAsia="Titillium Web" w:hAnsi="Titillium Web" w:cs="Titillium Web"/>
          <w:sz w:val="24"/>
          <w:szCs w:val="24"/>
        </w:rPr>
        <w:t>Non ha avuta nessuna difficoltà. Ha raggiunto la pagina immediatamente.</w:t>
      </w:r>
    </w:p>
    <w:p w14:paraId="102BB725" w14:textId="781DC24E" w:rsidR="004E50F6" w:rsidRDefault="004E50F6" w:rsidP="004E50F6">
      <w:pPr>
        <w:ind w:left="708"/>
        <w:rPr>
          <w:rFonts w:ascii="Titillium Web" w:eastAsia="Titillium Web" w:hAnsi="Titillium Web" w:cs="Titillium Web"/>
          <w:sz w:val="24"/>
          <w:szCs w:val="24"/>
        </w:rPr>
      </w:pPr>
    </w:p>
    <w:p w14:paraId="28B42F8F" w14:textId="77777777" w:rsidR="004E50F6" w:rsidRPr="004E50F6" w:rsidRDefault="004E50F6" w:rsidP="004E50F6">
      <w:pPr>
        <w:ind w:left="708"/>
        <w:rPr>
          <w:rFonts w:ascii="Titillium Web" w:eastAsia="Titillium Web" w:hAnsi="Titillium Web" w:cs="Titillium Web"/>
          <w:sz w:val="24"/>
          <w:szCs w:val="24"/>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r w:rsidRPr="0018797E">
        <w:rPr>
          <w:color w:val="000000"/>
          <w:kern w:val="3"/>
          <w:lang w:val="en-US"/>
        </w:rPr>
        <w:t>Cercare informazioni per la presentazione della domanda di laurea</w:t>
      </w:r>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lastRenderedPageBreak/>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5DF45279" w14:textId="790B2157" w:rsidR="0018797E" w:rsidRDefault="0018797E" w:rsidP="004E50F6">
      <w:pPr>
        <w:ind w:left="708"/>
        <w:rPr>
          <w:rFonts w:ascii="Titillium Web" w:eastAsia="Titillium Web" w:hAnsi="Titillium Web" w:cs="Titillium Web"/>
          <w:sz w:val="24"/>
          <w:szCs w:val="24"/>
        </w:rPr>
      </w:pPr>
      <w:r w:rsidRPr="0018797E">
        <w:rPr>
          <w:rFonts w:ascii="Titillium Web" w:eastAsia="Titillium Web" w:hAnsi="Titillium Web" w:cs="Titillium Web"/>
          <w:sz w:val="24"/>
          <w:szCs w:val="24"/>
        </w:rPr>
        <w:t xml:space="preserve">Il partecipante ha riscontrato una lieve ambiguità tra la voce </w:t>
      </w:r>
      <w:r w:rsidR="00EA1BAA">
        <w:rPr>
          <w:rFonts w:ascii="Titillium Web" w:eastAsia="Titillium Web" w:hAnsi="Titillium Web" w:cs="Titillium Web"/>
          <w:sz w:val="24"/>
          <w:szCs w:val="24"/>
        </w:rPr>
        <w:t>“P</w:t>
      </w:r>
      <w:r w:rsidRPr="0018797E">
        <w:rPr>
          <w:rFonts w:ascii="Titillium Web" w:eastAsia="Titillium Web" w:hAnsi="Titillium Web" w:cs="Titillium Web"/>
          <w:sz w:val="24"/>
          <w:szCs w:val="24"/>
        </w:rPr>
        <w:t>rocedura</w:t>
      </w:r>
      <w:r w:rsidR="00EA1BAA">
        <w:rPr>
          <w:rFonts w:ascii="Titillium Web" w:eastAsia="Titillium Web" w:hAnsi="Titillium Web" w:cs="Titillium Web"/>
          <w:sz w:val="24"/>
          <w:szCs w:val="24"/>
        </w:rPr>
        <w:t>”</w:t>
      </w:r>
      <w:r w:rsidRPr="0018797E">
        <w:rPr>
          <w:rFonts w:ascii="Titillium Web" w:eastAsia="Titillium Web" w:hAnsi="Titillium Web" w:cs="Titillium Web"/>
          <w:sz w:val="24"/>
          <w:szCs w:val="24"/>
        </w:rPr>
        <w:t xml:space="preserve"> e </w:t>
      </w:r>
      <w:r w:rsidR="00EA1BAA">
        <w:rPr>
          <w:rFonts w:ascii="Titillium Web" w:eastAsia="Titillium Web" w:hAnsi="Titillium Web" w:cs="Titillium Web"/>
          <w:sz w:val="24"/>
          <w:szCs w:val="24"/>
        </w:rPr>
        <w:t>“M</w:t>
      </w:r>
      <w:r w:rsidRPr="0018797E">
        <w:rPr>
          <w:rFonts w:ascii="Titillium Web" w:eastAsia="Titillium Web" w:hAnsi="Titillium Web" w:cs="Titillium Web"/>
          <w:sz w:val="24"/>
          <w:szCs w:val="24"/>
        </w:rPr>
        <w:t>odulistica</w:t>
      </w:r>
      <w:r w:rsidR="00EA1BAA">
        <w:rPr>
          <w:rFonts w:ascii="Titillium Web" w:eastAsia="Titillium Web" w:hAnsi="Titillium Web" w:cs="Titillium Web"/>
          <w:sz w:val="24"/>
          <w:szCs w:val="24"/>
        </w:rPr>
        <w:t>”</w:t>
      </w:r>
      <w:r w:rsidRPr="0018797E">
        <w:rPr>
          <w:rFonts w:ascii="Titillium Web" w:eastAsia="Titillium Web" w:hAnsi="Titillium Web" w:cs="Titillium Web"/>
          <w:sz w:val="24"/>
          <w:szCs w:val="24"/>
        </w:rPr>
        <w:t xml:space="preserve">, </w:t>
      </w:r>
      <w:r w:rsidR="00EA1BAA" w:rsidRPr="0018797E">
        <w:rPr>
          <w:rFonts w:ascii="Titillium Web" w:eastAsia="Titillium Web" w:hAnsi="Titillium Web" w:cs="Titillium Web"/>
          <w:sz w:val="24"/>
          <w:szCs w:val="24"/>
        </w:rPr>
        <w:t>nonostante ciò,</w:t>
      </w:r>
      <w:r w:rsidRPr="0018797E">
        <w:rPr>
          <w:rFonts w:ascii="Titillium Web" w:eastAsia="Titillium Web" w:hAnsi="Titillium Web" w:cs="Titillium Web"/>
          <w:sz w:val="24"/>
          <w:szCs w:val="24"/>
        </w:rPr>
        <w:t xml:space="preserve"> non ha avuto grosse difficoltà nel </w:t>
      </w:r>
      <w:r>
        <w:rPr>
          <w:rFonts w:ascii="Titillium Web" w:eastAsia="Titillium Web" w:hAnsi="Titillium Web" w:cs="Titillium Web"/>
          <w:sz w:val="24"/>
          <w:szCs w:val="24"/>
        </w:rPr>
        <w:t>completamento</w:t>
      </w:r>
      <w:r w:rsidRPr="0018797E">
        <w:rPr>
          <w:rFonts w:ascii="Titillium Web" w:eastAsia="Titillium Web" w:hAnsi="Titillium Web" w:cs="Titillium Web"/>
          <w:sz w:val="24"/>
          <w:szCs w:val="24"/>
        </w:rPr>
        <w:t xml:space="preserve"> del task. </w:t>
      </w:r>
    </w:p>
    <w:p w14:paraId="0816E559" w14:textId="59D7F7B8" w:rsidR="004E50F6" w:rsidRDefault="004E50F6"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0C268A" w:rsidRPr="000C268A">
        <w:rPr>
          <w:rFonts w:ascii="Titillium Web" w:eastAsia="Titillium Web" w:hAnsi="Titillium Web" w:cs="Titillium Web"/>
          <w:color w:val="999999"/>
          <w:kern w:val="3"/>
          <w:sz w:val="20"/>
          <w:lang w:val="en-US"/>
        </w:rPr>
        <w:t xml:space="preserve">Ateneo-&gt; Didattica-&gt; Procedura amministrative-&gt; procedure-&gt; modulistica -&gt; </w:t>
      </w:r>
      <w:proofErr w:type="gramStart"/>
      <w:r w:rsidR="000C268A" w:rsidRPr="000C268A">
        <w:rPr>
          <w:rFonts w:ascii="Titillium Web" w:eastAsia="Titillium Web" w:hAnsi="Titillium Web" w:cs="Titillium Web"/>
          <w:color w:val="999999"/>
          <w:kern w:val="3"/>
          <w:sz w:val="20"/>
          <w:lang w:val="en-US"/>
        </w:rPr>
        <w:t>Laureandi</w:t>
      </w:r>
      <w:r w:rsidR="000868E1">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roofErr w:type="gramEnd"/>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r w:rsidRPr="0084338A">
        <w:rPr>
          <w:color w:val="000000"/>
          <w:kern w:val="3"/>
          <w:lang w:val="en-US"/>
        </w:rPr>
        <w:t>Cercare informazioni sui servizi offerti agli studenti con disabilità</w:t>
      </w:r>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FE41674" w14:textId="1144D6B9" w:rsidR="0084338A" w:rsidRPr="00F6148B" w:rsidRDefault="0084338A" w:rsidP="0084338A">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1" w:history="1">
        <w:r w:rsidRPr="00EB0B0F">
          <w:rPr>
            <w:rStyle w:val="Collegamentoipertestuale"/>
            <w:rFonts w:ascii="Titillium Web" w:eastAsia="Titillium Web" w:hAnsi="Titillium Web" w:cs="Titillium Web"/>
            <w:kern w:val="3"/>
            <w:sz w:val="20"/>
            <w:lang w:val="en-US"/>
          </w:rPr>
          <w:t>https://www.unipg.it/disabilita-e-dsa</w:t>
        </w:r>
      </w:hyperlink>
      <w:r w:rsidRPr="0084338A">
        <w:rPr>
          <w:color w:val="999999"/>
        </w:rPr>
        <w:t xml:space="preserve"> ]</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868E1"/>
    <w:rsid w:val="000C268A"/>
    <w:rsid w:val="0018797E"/>
    <w:rsid w:val="002D54B3"/>
    <w:rsid w:val="004E50F6"/>
    <w:rsid w:val="0084338A"/>
    <w:rsid w:val="008653D1"/>
    <w:rsid w:val="008B429D"/>
    <w:rsid w:val="008F5764"/>
    <w:rsid w:val="00994C5E"/>
    <w:rsid w:val="00C9364C"/>
    <w:rsid w:val="00D25F5B"/>
    <w:rsid w:val="00DF13B5"/>
    <w:rsid w:val="00EA1BAA"/>
    <w:rsid w:val="00F6148B"/>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086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2505">
      <w:bodyDiv w:val="1"/>
      <w:marLeft w:val="0"/>
      <w:marRight w:val="0"/>
      <w:marTop w:val="0"/>
      <w:marBottom w:val="0"/>
      <w:divBdr>
        <w:top w:val="none" w:sz="0" w:space="0" w:color="auto"/>
        <w:left w:val="none" w:sz="0" w:space="0" w:color="auto"/>
        <w:bottom w:val="none" w:sz="0" w:space="0" w:color="auto"/>
        <w:right w:val="none" w:sz="0" w:space="0" w:color="auto"/>
      </w:divBdr>
    </w:div>
    <w:div w:id="958023613">
      <w:bodyDiv w:val="1"/>
      <w:marLeft w:val="0"/>
      <w:marRight w:val="0"/>
      <w:marTop w:val="0"/>
      <w:marBottom w:val="0"/>
      <w:divBdr>
        <w:top w:val="none" w:sz="0" w:space="0" w:color="auto"/>
        <w:left w:val="none" w:sz="0" w:space="0" w:color="auto"/>
        <w:bottom w:val="none" w:sz="0" w:space="0" w:color="auto"/>
        <w:right w:val="none" w:sz="0" w:space="0" w:color="auto"/>
      </w:divBdr>
    </w:div>
    <w:div w:id="15814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hyperlink" Target="https://www.unipg.it/disabilita-e-dsa" TargetMode="Externa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838</Words>
  <Characters>4777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2</cp:revision>
  <dcterms:created xsi:type="dcterms:W3CDTF">2022-03-17T17:47:00Z</dcterms:created>
  <dcterms:modified xsi:type="dcterms:W3CDTF">2022-03-17T19:47:00Z</dcterms:modified>
</cp:coreProperties>
</file>