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8D565C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8D565C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8D565C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8D565C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8D565C" w:rsidP="006A27FE">
      <w:pPr>
        <w:pStyle w:val="Standard"/>
        <w:ind w:right="-46"/>
      </w:pPr>
      <w:r>
        <w:rPr>
          <w:rFonts w:ascii="Titillium Web" w:eastAsia="Titillium Web" w:hAnsi="Titillium Web" w:cs="Titillium Web"/>
          <w:b/>
          <w:color w:val="666666"/>
          <w:sz w:val="28"/>
        </w:rPr>
        <w:t>Questionario minimo per la raccolta dei dati anagrafici dei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b/>
          <w:color w:val="666666"/>
          <w:sz w:val="28"/>
        </w:rPr>
        <w:t>partecipanti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7A52EB0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Girolamo Chiddo</w:t>
      </w:r>
    </w:p>
    <w:p w14:paraId="11F6DC4C" w14:textId="07D9A2B9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6</w:t>
      </w:r>
    </w:p>
    <w:p w14:paraId="058A73E4" w14:textId="435A94B1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Programmatore</w:t>
      </w:r>
    </w:p>
    <w:p w14:paraId="2B8CB27E" w14:textId="77777777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D5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A691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8D565C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62306ED6" w:rsidR="006E302C" w:rsidRDefault="008D565C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>Sei/sei stato</w:t>
      </w:r>
      <w:r w:rsidR="00D212CA">
        <w:rPr>
          <w:rFonts w:ascii="Titillium Web" w:eastAsia="Titillium Web" w:hAnsi="Titillium Web" w:cs="Titillium Web"/>
          <w:color w:val="666666"/>
          <w:sz w:val="28"/>
        </w:rPr>
        <w:t>/a</w:t>
      </w:r>
      <w:r w:rsidR="002C4002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2527358E" w:rsidR="006E302C" w:rsidRDefault="002C4002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360559" wp14:editId="7E8CE616">
                <wp:simplePos x="0" y="0"/>
                <wp:positionH relativeFrom="column">
                  <wp:posOffset>198120</wp:posOffset>
                </wp:positionH>
                <wp:positionV relativeFrom="paragraph">
                  <wp:posOffset>26035</wp:posOffset>
                </wp:positionV>
                <wp:extent cx="210185" cy="286300"/>
                <wp:effectExtent l="38100" t="38100" r="56515" b="571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85" cy="28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875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4.9pt;margin-top:1.35pt;width:17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jjd5AQAACQMAAA4AAABkcnMvZTJvRG9jLnhtbJxSyU7DMBC9I/EP&#10;1txplkKVRk05UCFxYDnABxjHbixiTzR2Sfl7pmlLWxBC4hJ55inPb/Hseu1a8a4pWPQVZKMUhPYK&#10;a+uXFbw8314UIEKUvpYtel3Bhw5wPT8/m/VdqXNssK01CSbxoey7CpoYuzJJgmq0k2GEnfYMGiQn&#10;I4+0TGqSPbO7NsnTdJL0SHVHqHQIvF1sQZgP/MZoFR+NCTqKtoJiko9BxAqmacoH4s20yEG88iab&#10;jiGZz2S5JNk1Vu0kyX8octJ6FvBFtZBRihXZH1TOKsKAJo4UugSNsUoPfthZln5zduffNq6yS7Wi&#10;UqGP2scnSXGf3QD85wrXcgL9PdbcjlxFhB0jx/N3GVvRC1Qrx3q2jZBuZeTnEBrbBY65tHUFdFdn&#10;B/3+/ebg4IkOvh5OAW4k2Vn+7Ze1IbcJm5WIdQX8/j4236FLvY5C8TLP0qy4AqEYyovJOB3wPfOW&#10;YT8dRcuXn5R4PG+EHb3g+ScAAAD//wMAUEsDBBQABgAIAAAAIQAAlirmZAIAANUFAAAQAAAAZHJz&#10;L2luay9pbmsxLnhtbLRTTY+bMBC9V+p/sNxDLhhsg/mIluypkSq1atXdSu2RJU5ACyYyzte/79gQ&#10;ktVmqx7aixneeJ7nPY/v7o9tg/ZS93Wncsx8ipFUZbeq1SbHPx6XJMWoN4VaFU2nZI5Pssf3i/fv&#10;7mr13DZzWBEwqN5GbZPjypjtPAgOh4N/CP1ObwJOaRh8Us9fPuPFWLWS61rVBo7sz1DZKSOPxpLN&#10;61WOS3Ok037gfuh2upRT2iK6vOwwuijlstNtYSbGqlBKNkgVLfT9EyNz2kJQwzkbqTFqaxBMuM+i&#10;JEo/ZgAUxxxf/e+gxR46aXFwm/PXf+Bcvua0bYU8iROMxpZWcm97Cpzn87e1f9PdVmpTy4vNgylj&#10;4oTK4d/5MxilZd81O3s3GO2LZgeWMUphLMazWXDDkNd84M0/5QNf3uS7bu6lNaO8ax9G06aROl+t&#10;qVsJg95upxkzPRBb+MFo9xw45ZzQkLD0kYk5z+Y88SnLrq5inOIz55Pe9dXE96Qv8+oyk2uDskO9&#10;MtVkOvWpmEy/tvxWaSXrTWX+VDvKdsXT5Nx4h26Y0Kjju1zn+IN7ishVDoATwkOUCIF4JBLhzdiM&#10;sHhGPUwxw9RjiCLqUQJfiIfVIiPukCHLh3jYkxAew67I/YVuFZxEGWBExEjYIOEkFZYqgRNtIoJE&#10;aIMwRSGAYSw8At3xmIgoZi9eyfli/lalu/6v63UvTY4TmvphghcMhfFFN0utbBANskEiNMIH8W5l&#10;zoIBZwxxyHkx6IMYNhJmlRCREXhiEMFowSoYArGgELxxwoQgcTQJIzy7Jewy14vfAAAA//8DAFBL&#10;AwQUAAYACAAAACEAfUNNYdkAAAAGAQAADwAAAGRycy9kb3ducmV2LnhtbEyOQUvDQBSE74L/YXmC&#10;N7sx0FZjNkUEbyJYi+htk30modm3cfe1Xf+9z5OehmGGma/eZD+pI8Y0BjJwvShAIXXBjdQb2L0+&#10;Xt2ASmzJ2SkQGvjGBJvm/Ky2lQsnesHjlnslI5Qqa2BgniutUzegt2kRZiTJPkP0lsXGXrtoTzLu&#10;J10WxUp7O5I8DHbGhwG7/fbgDby33XPezzbrN3z64vLDxbZnYy4v8v0dKMbMf2X4xRd0aISpDQdy&#10;SU0GylshZ9E1KIlXS9HWwLJYg25q/R+/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Oo43eQEAAAkDAAAOAAAAAAAAAAAAAAAAADwCAABkcnMvZTJvRG9j&#10;LnhtbFBLAQItABQABgAIAAAAIQAAlirmZAIAANUFAAAQAAAAAAAAAAAAAAAAAOEDAABkcnMvaW5r&#10;L2luazEueG1sUEsBAi0AFAAGAAgAAAAhAH1DTWHZAAAABgEAAA8AAAAAAAAAAAAAAAAAcwYAAGRy&#10;cy9kb3ducmV2LnhtbFBLAQItABQABgAIAAAAIQB5GLydvwAAACEBAAAZAAAAAAAAAAAAAAAAAHkH&#10;AABkcnMvX3JlbHMvZTJvRG9jLnhtbC5yZWxzUEsFBgAAAAAGAAYAeAEAAG8IAAAAAA==&#10;">
                <v:imagedata r:id="rId14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si</w:t>
      </w:r>
    </w:p>
    <w:p w14:paraId="03815AAF" w14:textId="6227A0E6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636B472A" w:rsidR="006E302C" w:rsidRDefault="006E302C" w:rsidP="002C4002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76AF" w14:textId="77777777" w:rsidR="0080381D" w:rsidRDefault="0080381D">
      <w:r>
        <w:separator/>
      </w:r>
    </w:p>
  </w:endnote>
  <w:endnote w:type="continuationSeparator" w:id="0">
    <w:p w14:paraId="79DB5401" w14:textId="77777777" w:rsidR="0080381D" w:rsidRDefault="0080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8D565C">
    <w:pPr>
      <w:pStyle w:val="Standard"/>
      <w:jc w:val="right"/>
    </w:pPr>
    <w:hyperlink r:id="rId1" w:history="1">
      <w: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4FF8" w14:textId="77777777" w:rsidR="0080381D" w:rsidRDefault="0080381D">
      <w:r>
        <w:separator/>
      </w:r>
    </w:p>
  </w:footnote>
  <w:footnote w:type="continuationSeparator" w:id="0">
    <w:p w14:paraId="753EE7FF" w14:textId="77777777" w:rsidR="0080381D" w:rsidRDefault="0080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2C4002"/>
    <w:rsid w:val="006A27FE"/>
    <w:rsid w:val="006E302C"/>
    <w:rsid w:val="006E7C6C"/>
    <w:rsid w:val="0080381D"/>
    <w:rsid w:val="008D565C"/>
    <w:rsid w:val="00A41DC6"/>
    <w:rsid w:val="00D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2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23 755 24575,'1'-16'0,"0"1"0,1 0 0,0-1 0,1 1 0,1 0 0,1 0 0,0 1 0,0-1 0,2 1 0,0 1 0,17-26 0,4 1 0,3 1 0,52-49 0,-56 59 0,72-85 0,17-16 0,-46 53 0,-38 37-1365,-23 26-5461</inkml:trace>
  <inkml:trace contextRef="#ctx0" brushRef="#br0" timeOffset="708.37">1 36 24575,'1'18'0,"1"0"0,0 0 0,2 0 0,0 0 0,1-1 0,0 0 0,11 22 0,64 111 0,2-15 0,-59-100 0,3-1 0,51 56 0,12 13 0,-55-64-1365,-23-29-5461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4</cp:revision>
  <dcterms:created xsi:type="dcterms:W3CDTF">2022-03-17T19:12:00Z</dcterms:created>
  <dcterms:modified xsi:type="dcterms:W3CDTF">2022-03-18T15:32:00Z</dcterms:modified>
</cp:coreProperties>
</file>