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800" w:after="0" w:line="288" w:lineRule="auto"/>
        <w:jc w:val="both"/>
      </w:pPr>
    </w:p>
    <w:p>
      <w:pPr>
        <w:spacing w:before="0" w:after="120" w:line="240" w:lineRule="auto"/>
        <w:jc w:val="left"/>
      </w:pPr>
      <w:r>
        <w:rPr>
          <w:rFonts w:ascii="Century Gothic" w:hAnsi="Century Gothic" w:eastAsia="Century Gothic" w:cs="Century Gothic"/>
          <w:b/>
          <w:bCs/>
          <w:color w:val="BE0036"/>
          <w:sz w:val="64"/>
          <w:szCs w:val="64"/>
          <w:lang w:val="it-IT"/>
        </w:rPr>
        <w:t xml:space="preserve">CJ Test Helper</w:t>
      </w:r>
    </w:p>
    <w:p>
      <w:pPr>
        <w:spacing w:before="0" w:after="480" w:line="264" w:lineRule="auto"/>
        <w:jc w:val="left"/>
      </w:pPr>
      <w:r>
        <w:rPr>
          <w:rFonts w:ascii="Century Gothic" w:hAnsi="Century Gothic" w:eastAsia="Century Gothic" w:cs="Century Gothic"/>
          <w:b/>
          <w:bCs/>
          <w:color w:val="303232"/>
          <w:sz w:val="40"/>
          <w:szCs w:val="40"/>
          <w:lang w:val="it-IT"/>
        </w:rPr>
        <w:t xml:space="preserve">Dati di test per i customer journey di Salesforce Marketing Cloud</w:t>
      </w:r>
    </w:p>
    <w:p>
      <w:pPr>
        <w:pBdr>
          <w:top w:val="single" w:sz="12" w:space="12" w:color="BE0036"/>
        </w:pBdr>
        <w:spacing w:before="0" w:after="120" w:line="288" w:lineRule="auto"/>
        <w:jc w:val="left"/>
      </w:pPr>
      <w:r>
        <w:rPr>
          <w:rFonts w:ascii="Century Gothic" w:hAnsi="Century Gothic" w:eastAsia="Century Gothic" w:cs="Century Gothic"/>
          <w:b/>
          <w:bCs/>
          <w:color w:val="0C0C0C"/>
          <w:sz w:val="32"/>
          <w:szCs w:val="32"/>
          <w:lang w:val="it-IT"/>
        </w:rPr>
        <w:t xml:space="preserve">Disegno della soluzione</w:t>
      </w:r>
    </w:p>
    <w:p>
      <w:pPr>
        <w:spacing w:before="0" w:after="40" w:line="288" w:lineRule="auto"/>
        <w:jc w:val="left"/>
      </w:pPr>
      <w:r>
        <w:rPr>
          <w:rFonts w:ascii="Century Gothic" w:hAnsi="Century Gothic" w:eastAsia="Century Gothic" w:cs="Century Gothic"/>
          <w:color w:val="7F7F7F"/>
          <w:sz w:val="18"/>
          <w:szCs w:val="18"/>
          <w:lang w:val="it-IT"/>
        </w:rPr>
        <w:t xml:space="preserve">Documento tecnico</w:t>
      </w:r>
    </w:p>
    <w:p>
      <w:pPr>
        <w:spacing w:before="0" w:after="40" w:line="288" w:lineRule="auto"/>
        <w:jc w:val="left"/>
      </w:pPr>
      <w:r>
        <w:rPr>
          <w:rFonts w:ascii="Century Gothic" w:hAnsi="Century Gothic" w:eastAsia="Century Gothic" w:cs="Century Gothic"/>
          <w:color w:val="7F7F7F"/>
          <w:sz w:val="18"/>
          <w:szCs w:val="18"/>
          <w:lang w:val="it-IT"/>
        </w:rPr>
        <w:t xml:space="preserve">Versione 1.0, ottobre 2026</w:t>
      </w:r>
    </w:p>
    <w:p>
      <w:r>
        <w:br w:type="page"/>
      </w:r>
    </w:p>
    <w:p>
      <w:pPr>
        <w:spacing w:before="0" w:after="360" w:line="240" w:lineRule="auto"/>
        <w:jc w:val="left"/>
      </w:pPr>
      <w:r>
        <w:rPr>
          <w:rFonts w:ascii="Century Gothic" w:hAnsi="Century Gothic" w:eastAsia="Century Gothic" w:cs="Century Gothic"/>
          <w:b/>
          <w:bCs/>
          <w:color w:val="303232"/>
          <w:sz w:val="40"/>
          <w:szCs w:val="40"/>
          <w:lang w:val="it-IT"/>
        </w:rPr>
        <w:t xml:space="preserve">Indice</w:t>
      </w:r>
    </w:p>
    <w:p>
      <w:pPr>
        <w:pStyle w:val="Sommario1"/>
        <w:tabs>
          <w:tab w:val="right" w:leader="dot" w:pos="9638"/>
        </w:tabs>
        <w:spacing w:before="200" w:after="40" w:line="264" w:lineRule="auto"/>
        <w:jc w:val="left"/>
      </w:pPr>
      <w:r>
        <w:fldChar w:fldCharType="begin"/>
      </w:r>
      <w:r>
        <w:instrText xml:space="preserve"> TOC \o "1-1" \h \z \u </w:instrText>
      </w:r>
      <w:r>
        <w:fldChar w:fldCharType="separate"/>
      </w:r>
      <w:r>
        <w:rPr>
          <w:rFonts w:ascii="Century Gothic" w:hAnsi="Century Gothic" w:eastAsia="Century Gothic" w:cs="Century Gothic"/>
          <w:b/>
          <w:bCs/>
          <w:color w:val="BE0036"/>
          <w:sz w:val="18"/>
          <w:szCs w:val="18"/>
          <w:lang w:val="it-IT"/>
        </w:rPr>
        <w:t xml:space="preserve">1  Introduzione</w:t>
      </w:r>
      <w:r>
        <w:rPr>
          <w:rFonts w:ascii="Century Gothic" w:hAnsi="Century Gothic" w:eastAsia="Century Gothic" w:cs="Century Gothic"/>
          <w:color w:val="7F7F7F"/>
          <w:sz w:val="18"/>
          <w:szCs w:val="18"/>
          <w:lang w:val="it-IT"/>
        </w:rPr>
        <w:tab/>
      </w:r>
      <w:r>
        <w:rPr>
          <w:rFonts w:ascii="Century Gothic" w:hAnsi="Century Gothic" w:eastAsia="Century Gothic" w:cs="Century Gothic"/>
          <w:b/>
          <w:bCs/>
          <w:color w:val="303232"/>
          <w:sz w:val="18"/>
          <w:szCs w:val="18"/>
          <w:lang w:val="it-IT"/>
        </w:rPr>
        <w:t xml:space="preserve">3</w:t>
      </w:r>
    </w:p>
    <w:p>
      <w:pPr>
        <w:pStyle w:val="Sommario1"/>
        <w:tabs>
          <w:tab w:val="right" w:leader="dot" w:pos="9638"/>
        </w:tabs>
        <w:spacing w:before="200" w:after="40" w:line="264" w:lineRule="auto"/>
        <w:jc w:val="left"/>
      </w:pPr>
      <w:r>
        <w:rPr>
          <w:rFonts w:ascii="Century Gothic" w:hAnsi="Century Gothic" w:eastAsia="Century Gothic" w:cs="Century Gothic"/>
          <w:b/>
          <w:bCs/>
          <w:color w:val="BE0036"/>
          <w:sz w:val="18"/>
          <w:szCs w:val="18"/>
          <w:lang w:val="it-IT"/>
        </w:rPr>
        <w:t xml:space="preserve">2  Principi di progettazione</w:t>
      </w:r>
      <w:r>
        <w:rPr>
          <w:rFonts w:ascii="Century Gothic" w:hAnsi="Century Gothic" w:eastAsia="Century Gothic" w:cs="Century Gothic"/>
          <w:color w:val="7F7F7F"/>
          <w:sz w:val="18"/>
          <w:szCs w:val="18"/>
          <w:lang w:val="it-IT"/>
        </w:rPr>
        <w:tab/>
      </w:r>
      <w:r>
        <w:rPr>
          <w:rFonts w:ascii="Century Gothic" w:hAnsi="Century Gothic" w:eastAsia="Century Gothic" w:cs="Century Gothic"/>
          <w:b/>
          <w:bCs/>
          <w:color w:val="303232"/>
          <w:sz w:val="18"/>
          <w:szCs w:val="18"/>
          <w:lang w:val="it-IT"/>
        </w:rPr>
        <w:t xml:space="preserve">4</w:t>
      </w:r>
    </w:p>
    <w:p>
      <w:pPr>
        <w:pStyle w:val="Sommario1"/>
        <w:tabs>
          <w:tab w:val="right" w:leader="dot" w:pos="9638"/>
        </w:tabs>
        <w:spacing w:before="200" w:after="40" w:line="264" w:lineRule="auto"/>
        <w:jc w:val="left"/>
      </w:pPr>
      <w:r>
        <w:rPr>
          <w:rFonts w:ascii="Century Gothic" w:hAnsi="Century Gothic" w:eastAsia="Century Gothic" w:cs="Century Gothic"/>
          <w:b/>
          <w:bCs/>
          <w:color w:val="BE0036"/>
          <w:sz w:val="18"/>
          <w:szCs w:val="18"/>
          <w:lang w:val="it-IT"/>
        </w:rPr>
        <w:t xml:space="preserve">3  Architettura</w:t>
      </w:r>
      <w:r>
        <w:rPr>
          <w:rFonts w:ascii="Century Gothic" w:hAnsi="Century Gothic" w:eastAsia="Century Gothic" w:cs="Century Gothic"/>
          <w:color w:val="7F7F7F"/>
          <w:sz w:val="18"/>
          <w:szCs w:val="18"/>
          <w:lang w:val="it-IT"/>
        </w:rPr>
        <w:tab/>
      </w:r>
      <w:r>
        <w:rPr>
          <w:rFonts w:ascii="Century Gothic" w:hAnsi="Century Gothic" w:eastAsia="Century Gothic" w:cs="Century Gothic"/>
          <w:b/>
          <w:bCs/>
          <w:color w:val="303232"/>
          <w:sz w:val="18"/>
          <w:szCs w:val="18"/>
          <w:lang w:val="it-IT"/>
        </w:rPr>
        <w:t xml:space="preserve">5</w:t>
      </w:r>
    </w:p>
    <w:p>
      <w:pPr>
        <w:pStyle w:val="Sommario1"/>
        <w:tabs>
          <w:tab w:val="right" w:leader="dot" w:pos="9638"/>
        </w:tabs>
        <w:spacing w:before="200" w:after="40" w:line="264" w:lineRule="auto"/>
        <w:jc w:val="left"/>
      </w:pPr>
      <w:r>
        <w:rPr>
          <w:rFonts w:ascii="Century Gothic" w:hAnsi="Century Gothic" w:eastAsia="Century Gothic" w:cs="Century Gothic"/>
          <w:b/>
          <w:bCs/>
          <w:color w:val="BE0036"/>
          <w:sz w:val="18"/>
          <w:szCs w:val="18"/>
          <w:lang w:val="it-IT"/>
        </w:rPr>
        <w:t xml:space="preserve">4  Lettura dell'export</w:t>
      </w:r>
      <w:r>
        <w:rPr>
          <w:rFonts w:ascii="Century Gothic" w:hAnsi="Century Gothic" w:eastAsia="Century Gothic" w:cs="Century Gothic"/>
          <w:color w:val="7F7F7F"/>
          <w:sz w:val="18"/>
          <w:szCs w:val="18"/>
          <w:lang w:val="it-IT"/>
        </w:rPr>
        <w:tab/>
      </w:r>
      <w:r>
        <w:rPr>
          <w:rFonts w:ascii="Century Gothic" w:hAnsi="Century Gothic" w:eastAsia="Century Gothic" w:cs="Century Gothic"/>
          <w:b/>
          <w:bCs/>
          <w:color w:val="303232"/>
          <w:sz w:val="18"/>
          <w:szCs w:val="18"/>
          <w:lang w:val="it-IT"/>
        </w:rPr>
        <w:t xml:space="preserve">6</w:t>
      </w:r>
    </w:p>
    <w:p>
      <w:pPr>
        <w:pStyle w:val="Sommario1"/>
        <w:tabs>
          <w:tab w:val="right" w:leader="dot" w:pos="9638"/>
        </w:tabs>
        <w:spacing w:before="200" w:after="40" w:line="264" w:lineRule="auto"/>
        <w:jc w:val="left"/>
      </w:pPr>
      <w:r>
        <w:rPr>
          <w:rFonts w:ascii="Century Gothic" w:hAnsi="Century Gothic" w:eastAsia="Century Gothic" w:cs="Century Gothic"/>
          <w:b/>
          <w:bCs/>
          <w:color w:val="BE0036"/>
          <w:sz w:val="18"/>
          <w:szCs w:val="18"/>
          <w:lang w:val="it-IT"/>
        </w:rPr>
        <w:t xml:space="preserve">5  Mappa delle data extension coinvolte</w:t>
      </w:r>
      <w:r>
        <w:rPr>
          <w:rFonts w:ascii="Century Gothic" w:hAnsi="Century Gothic" w:eastAsia="Century Gothic" w:cs="Century Gothic"/>
          <w:color w:val="7F7F7F"/>
          <w:sz w:val="18"/>
          <w:szCs w:val="18"/>
          <w:lang w:val="it-IT"/>
        </w:rPr>
        <w:tab/>
      </w:r>
      <w:r>
        <w:rPr>
          <w:rFonts w:ascii="Century Gothic" w:hAnsi="Century Gothic" w:eastAsia="Century Gothic" w:cs="Century Gothic"/>
          <w:b/>
          <w:bCs/>
          <w:color w:val="303232"/>
          <w:sz w:val="18"/>
          <w:szCs w:val="18"/>
          <w:lang w:val="it-IT"/>
        </w:rPr>
        <w:t xml:space="preserve">7</w:t>
      </w:r>
    </w:p>
    <w:p>
      <w:pPr>
        <w:pStyle w:val="Sommario1"/>
        <w:tabs>
          <w:tab w:val="right" w:leader="dot" w:pos="9638"/>
        </w:tabs>
        <w:spacing w:before="200" w:after="40" w:line="264" w:lineRule="auto"/>
        <w:jc w:val="left"/>
      </w:pPr>
      <w:r>
        <w:rPr>
          <w:rFonts w:ascii="Century Gothic" w:hAnsi="Century Gothic" w:eastAsia="Century Gothic" w:cs="Century Gothic"/>
          <w:b/>
          <w:bCs/>
          <w:color w:val="BE0036"/>
          <w:sz w:val="18"/>
          <w:szCs w:val="18"/>
          <w:lang w:val="it-IT"/>
        </w:rPr>
        <w:t xml:space="preserve">6  Derivazione dei casi di test</w:t>
      </w:r>
      <w:r>
        <w:rPr>
          <w:rFonts w:ascii="Century Gothic" w:hAnsi="Century Gothic" w:eastAsia="Century Gothic" w:cs="Century Gothic"/>
          <w:color w:val="7F7F7F"/>
          <w:sz w:val="18"/>
          <w:szCs w:val="18"/>
          <w:lang w:val="it-IT"/>
        </w:rPr>
        <w:tab/>
      </w:r>
      <w:r>
        <w:rPr>
          <w:rFonts w:ascii="Century Gothic" w:hAnsi="Century Gothic" w:eastAsia="Century Gothic" w:cs="Century Gothic"/>
          <w:b/>
          <w:bCs/>
          <w:color w:val="303232"/>
          <w:sz w:val="18"/>
          <w:szCs w:val="18"/>
          <w:lang w:val="it-IT"/>
        </w:rPr>
        <w:t xml:space="preserve">9</w:t>
      </w:r>
    </w:p>
    <w:p>
      <w:pPr>
        <w:pStyle w:val="Sommario1"/>
        <w:tabs>
          <w:tab w:val="right" w:leader="dot" w:pos="9638"/>
        </w:tabs>
        <w:spacing w:before="200" w:after="40" w:line="264" w:lineRule="auto"/>
        <w:jc w:val="left"/>
      </w:pPr>
      <w:r>
        <w:rPr>
          <w:rFonts w:ascii="Century Gothic" w:hAnsi="Century Gothic" w:eastAsia="Century Gothic" w:cs="Century Gothic"/>
          <w:b/>
          <w:bCs/>
          <w:color w:val="BE0036"/>
          <w:sz w:val="18"/>
          <w:szCs w:val="18"/>
          <w:lang w:val="it-IT"/>
        </w:rPr>
        <w:t xml:space="preserve">7  Regole di generazione dei dati fittizi</w:t>
      </w:r>
      <w:r>
        <w:rPr>
          <w:rFonts w:ascii="Century Gothic" w:hAnsi="Century Gothic" w:eastAsia="Century Gothic" w:cs="Century Gothic"/>
          <w:color w:val="7F7F7F"/>
          <w:sz w:val="18"/>
          <w:szCs w:val="18"/>
          <w:lang w:val="it-IT"/>
        </w:rPr>
        <w:tab/>
      </w:r>
      <w:r>
        <w:rPr>
          <w:rFonts w:ascii="Century Gothic" w:hAnsi="Century Gothic" w:eastAsia="Century Gothic" w:cs="Century Gothic"/>
          <w:b/>
          <w:bCs/>
          <w:color w:val="303232"/>
          <w:sz w:val="18"/>
          <w:szCs w:val="18"/>
          <w:lang w:val="it-IT"/>
        </w:rPr>
        <w:t xml:space="preserve">11</w:t>
      </w:r>
    </w:p>
    <w:p>
      <w:pPr>
        <w:pStyle w:val="Sommario1"/>
        <w:tabs>
          <w:tab w:val="right" w:leader="dot" w:pos="9638"/>
        </w:tabs>
        <w:spacing w:before="200" w:after="40" w:line="264" w:lineRule="auto"/>
        <w:jc w:val="left"/>
      </w:pPr>
      <w:r>
        <w:rPr>
          <w:rFonts w:ascii="Century Gothic" w:hAnsi="Century Gothic" w:eastAsia="Century Gothic" w:cs="Century Gothic"/>
          <w:b/>
          <w:bCs/>
          <w:color w:val="BE0036"/>
          <w:sz w:val="18"/>
          <w:szCs w:val="18"/>
          <w:lang w:val="it-IT"/>
        </w:rPr>
        <w:t xml:space="preserve">8  Controlli di affidabilità</w:t>
      </w:r>
      <w:r>
        <w:rPr>
          <w:rFonts w:ascii="Century Gothic" w:hAnsi="Century Gothic" w:eastAsia="Century Gothic" w:cs="Century Gothic"/>
          <w:color w:val="7F7F7F"/>
          <w:sz w:val="18"/>
          <w:szCs w:val="18"/>
          <w:lang w:val="it-IT"/>
        </w:rPr>
        <w:tab/>
      </w:r>
      <w:r>
        <w:rPr>
          <w:rFonts w:ascii="Century Gothic" w:hAnsi="Century Gothic" w:eastAsia="Century Gothic" w:cs="Century Gothic"/>
          <w:b/>
          <w:bCs/>
          <w:color w:val="303232"/>
          <w:sz w:val="18"/>
          <w:szCs w:val="18"/>
          <w:lang w:val="it-IT"/>
        </w:rPr>
        <w:t xml:space="preserve">13</w:t>
      </w:r>
    </w:p>
    <w:p>
      <w:pPr>
        <w:pStyle w:val="Sommario1"/>
        <w:tabs>
          <w:tab w:val="right" w:leader="dot" w:pos="9638"/>
        </w:tabs>
        <w:spacing w:before="200" w:after="40" w:line="264" w:lineRule="auto"/>
        <w:jc w:val="left"/>
      </w:pPr>
      <w:r>
        <w:rPr>
          <w:rFonts w:ascii="Century Gothic" w:hAnsi="Century Gothic" w:eastAsia="Century Gothic" w:cs="Century Gothic"/>
          <w:b/>
          <w:bCs/>
          <w:color w:val="BE0036"/>
          <w:sz w:val="18"/>
          <w:szCs w:val="18"/>
          <w:lang w:val="it-IT"/>
        </w:rPr>
        <w:t xml:space="preserve">9  Output e utilizzo</w:t>
      </w:r>
      <w:r>
        <w:rPr>
          <w:rFonts w:ascii="Century Gothic" w:hAnsi="Century Gothic" w:eastAsia="Century Gothic" w:cs="Century Gothic"/>
          <w:color w:val="7F7F7F"/>
          <w:sz w:val="18"/>
          <w:szCs w:val="18"/>
          <w:lang w:val="it-IT"/>
        </w:rPr>
        <w:tab/>
      </w:r>
      <w:r>
        <w:rPr>
          <w:rFonts w:ascii="Century Gothic" w:hAnsi="Century Gothic" w:eastAsia="Century Gothic" w:cs="Century Gothic"/>
          <w:b/>
          <w:bCs/>
          <w:color w:val="303232"/>
          <w:sz w:val="18"/>
          <w:szCs w:val="18"/>
          <w:lang w:val="it-IT"/>
        </w:rPr>
        <w:t xml:space="preserve">14</w:t>
      </w:r>
    </w:p>
    <w:p>
      <w:pPr>
        <w:pStyle w:val="Sommario1"/>
        <w:tabs>
          <w:tab w:val="right" w:leader="dot" w:pos="9638"/>
        </w:tabs>
        <w:spacing w:before="200" w:after="40" w:line="264" w:lineRule="auto"/>
        <w:jc w:val="left"/>
      </w:pPr>
      <w:r>
        <w:rPr>
          <w:rFonts w:ascii="Century Gothic" w:hAnsi="Century Gothic" w:eastAsia="Century Gothic" w:cs="Century Gothic"/>
          <w:b/>
          <w:bCs/>
          <w:color w:val="BE0036"/>
          <w:sz w:val="18"/>
          <w:szCs w:val="18"/>
          <w:lang w:val="it-IT"/>
        </w:rPr>
        <w:t xml:space="preserve">10  Assunzioni sul comportamento della piattaforma</w:t>
      </w:r>
      <w:r>
        <w:rPr>
          <w:rFonts w:ascii="Century Gothic" w:hAnsi="Century Gothic" w:eastAsia="Century Gothic" w:cs="Century Gothic"/>
          <w:color w:val="7F7F7F"/>
          <w:sz w:val="18"/>
          <w:szCs w:val="18"/>
          <w:lang w:val="it-IT"/>
        </w:rPr>
        <w:tab/>
      </w:r>
      <w:r>
        <w:rPr>
          <w:rFonts w:ascii="Century Gothic" w:hAnsi="Century Gothic" w:eastAsia="Century Gothic" w:cs="Century Gothic"/>
          <w:b/>
          <w:bCs/>
          <w:color w:val="303232"/>
          <w:sz w:val="18"/>
          <w:szCs w:val="18"/>
          <w:lang w:val="it-IT"/>
        </w:rPr>
        <w:t xml:space="preserve">15</w:t>
      </w:r>
    </w:p>
    <w:p>
      <w:pPr>
        <w:pStyle w:val="Sommario1"/>
        <w:tabs>
          <w:tab w:val="right" w:leader="dot" w:pos="9638"/>
        </w:tabs>
        <w:spacing w:before="200" w:after="40" w:line="264" w:lineRule="auto"/>
        <w:jc w:val="left"/>
      </w:pPr>
      <w:r>
        <w:rPr>
          <w:rFonts w:ascii="Century Gothic" w:hAnsi="Century Gothic" w:eastAsia="Century Gothic" w:cs="Century Gothic"/>
          <w:b/>
          <w:bCs/>
          <w:color w:val="BE0036"/>
          <w:sz w:val="18"/>
          <w:szCs w:val="18"/>
          <w:lang w:val="it-IT"/>
        </w:rPr>
        <w:t xml:space="preserve">11  Limiti</w:t>
      </w:r>
      <w:r>
        <w:rPr>
          <w:rFonts w:ascii="Century Gothic" w:hAnsi="Century Gothic" w:eastAsia="Century Gothic" w:cs="Century Gothic"/>
          <w:color w:val="7F7F7F"/>
          <w:sz w:val="18"/>
          <w:szCs w:val="18"/>
          <w:lang w:val="it-IT"/>
        </w:rPr>
        <w:tab/>
      </w:r>
      <w:r>
        <w:rPr>
          <w:rFonts w:ascii="Century Gothic" w:hAnsi="Century Gothic" w:eastAsia="Century Gothic" w:cs="Century Gothic"/>
          <w:b/>
          <w:bCs/>
          <w:color w:val="303232"/>
          <w:sz w:val="18"/>
          <w:szCs w:val="18"/>
          <w:lang w:val="it-IT"/>
        </w:rPr>
        <w:t xml:space="preserve">16</w:t>
      </w:r>
    </w:p>
    <w:p>
      <w:pPr>
        <w:pStyle w:val="Sommario1"/>
        <w:tabs>
          <w:tab w:val="right" w:leader="dot" w:pos="9638"/>
        </w:tabs>
        <w:spacing w:before="200" w:after="40" w:line="264" w:lineRule="auto"/>
        <w:jc w:val="left"/>
      </w:pPr>
      <w:r>
        <w:rPr>
          <w:rFonts w:ascii="Century Gothic" w:hAnsi="Century Gothic" w:eastAsia="Century Gothic" w:cs="Century Gothic"/>
          <w:b/>
          <w:bCs/>
          <w:color w:val="BE0036"/>
          <w:sz w:val="18"/>
          <w:szCs w:val="18"/>
          <w:lang w:val="it-IT"/>
        </w:rPr>
        <w:t xml:space="preserve">12  Validazione</w:t>
      </w:r>
      <w:r>
        <w:rPr>
          <w:rFonts w:ascii="Century Gothic" w:hAnsi="Century Gothic" w:eastAsia="Century Gothic" w:cs="Century Gothic"/>
          <w:color w:val="7F7F7F"/>
          <w:sz w:val="18"/>
          <w:szCs w:val="18"/>
          <w:lang w:val="it-IT"/>
        </w:rPr>
        <w:tab/>
      </w:r>
      <w:r>
        <w:rPr>
          <w:rFonts w:ascii="Century Gothic" w:hAnsi="Century Gothic" w:eastAsia="Century Gothic" w:cs="Century Gothic"/>
          <w:b/>
          <w:bCs/>
          <w:color w:val="303232"/>
          <w:sz w:val="18"/>
          <w:szCs w:val="18"/>
          <w:lang w:val="it-IT"/>
        </w:rPr>
        <w:t xml:space="preserve">16</w:t>
      </w:r>
    </w:p>
    <w:p>
      <w:pPr>
        <w:pStyle w:val="Sommario1"/>
        <w:tabs>
          <w:tab w:val="right" w:leader="dot" w:pos="9638"/>
        </w:tabs>
        <w:spacing w:before="200" w:after="40" w:line="264" w:lineRule="auto"/>
        <w:jc w:val="left"/>
      </w:pPr>
      <w:r>
        <w:rPr>
          <w:rFonts w:ascii="Century Gothic" w:hAnsi="Century Gothic" w:eastAsia="Century Gothic" w:cs="Century Gothic"/>
          <w:b/>
          <w:bCs/>
          <w:color w:val="BE0036"/>
          <w:sz w:val="18"/>
          <w:szCs w:val="18"/>
          <w:lang w:val="it-IT"/>
        </w:rPr>
        <w:t xml:space="preserve">13  Predisposizione per le integrazioni</w:t>
      </w:r>
      <w:r>
        <w:rPr>
          <w:rFonts w:ascii="Century Gothic" w:hAnsi="Century Gothic" w:eastAsia="Century Gothic" w:cs="Century Gothic"/>
          <w:color w:val="7F7F7F"/>
          <w:sz w:val="18"/>
          <w:szCs w:val="18"/>
          <w:lang w:val="it-IT"/>
        </w:rPr>
        <w:tab/>
      </w:r>
      <w:r>
        <w:rPr>
          <w:rFonts w:ascii="Century Gothic" w:hAnsi="Century Gothic" w:eastAsia="Century Gothic" w:cs="Century Gothic"/>
          <w:b/>
          <w:bCs/>
          <w:color w:val="303232"/>
          <w:sz w:val="18"/>
          <w:szCs w:val="18"/>
          <w:lang w:val="it-IT"/>
        </w:rPr>
        <w:t xml:space="preserve">17</w:t>
      </w:r>
    </w:p>
    <w:p>
      <w:pPr>
        <w:pStyle w:val="Sommario1"/>
        <w:tabs>
          <w:tab w:val="right" w:leader="dot" w:pos="9638"/>
        </w:tabs>
        <w:spacing w:before="200" w:after="40" w:line="264" w:lineRule="auto"/>
        <w:jc w:val="left"/>
      </w:pPr>
      <w:r>
        <w:rPr>
          <w:rFonts w:ascii="Century Gothic" w:hAnsi="Century Gothic" w:eastAsia="Century Gothic" w:cs="Century Gothic"/>
          <w:b/>
          <w:bCs/>
          <w:color w:val="BE0036"/>
          <w:sz w:val="18"/>
          <w:szCs w:val="18"/>
          <w:lang w:val="it-IT"/>
        </w:rPr>
        <w:t xml:space="preserve">Glossario</w:t>
      </w:r>
      <w:r>
        <w:rPr>
          <w:rFonts w:ascii="Century Gothic" w:hAnsi="Century Gothic" w:eastAsia="Century Gothic" w:cs="Century Gothic"/>
          <w:color w:val="7F7F7F"/>
          <w:sz w:val="18"/>
          <w:szCs w:val="18"/>
          <w:lang w:val="it-IT"/>
        </w:rPr>
        <w:tab/>
      </w:r>
      <w:r>
        <w:rPr>
          <w:rFonts w:ascii="Century Gothic" w:hAnsi="Century Gothic" w:eastAsia="Century Gothic" w:cs="Century Gothic"/>
          <w:b/>
          <w:bCs/>
          <w:color w:val="303232"/>
          <w:sz w:val="18"/>
          <w:szCs w:val="18"/>
          <w:lang w:val="it-IT"/>
        </w:rPr>
        <w:t xml:space="preserve">18</w:t>
      </w:r>
      <w:r>
        <w:fldChar w:fldCharType="end"/>
      </w:r>
    </w:p>
    <w:p>
      <w:r>
        <w:br w:type="page"/>
      </w:r>
    </w:p>
    <w:p>
      <w:pPr>
        <w:keepNext/>
        <w:keepLines/>
        <w:spacing w:before="600" w:after="200" w:line="264" w:lineRule="auto"/>
        <w:jc w:val="left"/>
        <w:outlineLvl w:val="0"/>
      </w:pPr>
      <w:bookmarkStart w:id="1" w:name="_Toc100001"/>
      <w:r>
        <w:rPr>
          <w:rFonts w:ascii="Century Gothic" w:hAnsi="Century Gothic" w:eastAsia="Century Gothic" w:cs="Century Gothic"/>
          <w:b/>
          <w:bCs/>
          <w:color w:val="BE0036"/>
          <w:sz w:val="30"/>
          <w:szCs w:val="30"/>
          <w:lang w:val="it-IT"/>
        </w:rPr>
        <w:t xml:space="preserve">1  Introduzione</w:t>
      </w:r>
      <w:bookmarkEnd w:id="1"/>
    </w:p>
    <w:p>
      <w:pPr>
        <w:keepNext/>
        <w:keepLines/>
        <w:spacing w:before="280" w:after="100" w:line="264" w:lineRule="auto"/>
        <w:jc w:val="left"/>
        <w:outlineLvl w:val="1"/>
      </w:pPr>
      <w:bookmarkStart w:id="2" w:name="_Toc100002"/>
      <w:r>
        <w:rPr>
          <w:rFonts w:ascii="Century Gothic" w:hAnsi="Century Gothic" w:eastAsia="Century Gothic" w:cs="Century Gothic"/>
          <w:b/>
          <w:bCs/>
          <w:color w:val="303232"/>
          <w:sz w:val="22"/>
          <w:szCs w:val="22"/>
          <w:lang w:val="it-IT"/>
        </w:rPr>
        <w:t xml:space="preserve">1.1  Il problema</w:t>
      </w:r>
      <w:bookmarkEnd w:id="2"/>
    </w:p>
    <w:p>
      <w:pPr>
        <w:spacing w:before="0" w:after="160" w:line="288" w:lineRule="auto"/>
        <w:jc w:val="both"/>
      </w:pPr>
      <w:r>
        <w:rPr>
          <w:rFonts w:ascii="Century Gothic" w:hAnsi="Century Gothic" w:eastAsia="Century Gothic" w:cs="Century Gothic"/>
          <w:color w:val="303232"/>
          <w:sz w:val="18"/>
          <w:szCs w:val="18"/>
          <w:lang w:val="it-IT"/>
        </w:rPr>
        <w:t xml:space="preserve">Per verificare un customer journey servono contatti di prova che ne percorrano ogni ramo, ciascuno con i dati che lo portano esattamente dove deve arrivare. La parte onerosa del lavoro precede l'esecuzione e consiste nel progettare quei contatti. Ogni decision split legge campi di una o più data extension; gli scenari di campagna sono righe condivise da molti contatti; le chiavi devono corrispondere tra tabelle diverse; alcune condizioni dipendono dal giorno in cui il contatto arriva allo split. Il journey di riferimento di questo documento conta 178 attività e 259 branch.</w:t>
      </w:r>
    </w:p>
    <w:p>
      <w:pPr>
        <w:spacing w:before="0" w:after="160" w:line="288" w:lineRule="auto"/>
        <w:jc w:val="both"/>
      </w:pPr>
      <w:r>
        <w:rPr>
          <w:rFonts w:ascii="Century Gothic" w:hAnsi="Century Gothic" w:eastAsia="Century Gothic" w:cs="Century Gothic"/>
          <w:color w:val="303232"/>
          <w:sz w:val="18"/>
          <w:szCs w:val="18"/>
          <w:lang w:val="it-IT"/>
        </w:rPr>
        <w:t xml:space="preserve">Progettati a mano, i dati di test richiedono giorni di lavoro, coprono i rami che il progettista riesce a tenere a mente e nascondono errori che emergono solo durante l'esecuzione, quando un contatto prende una strada diversa da quella attesa. In quel momento è difficile capire se a sbagliare è il journey o il dato.</w:t>
      </w:r>
    </w:p>
    <w:p>
      <w:pPr>
        <w:keepNext/>
        <w:keepLines/>
        <w:spacing w:before="280" w:after="100" w:line="264" w:lineRule="auto"/>
        <w:jc w:val="left"/>
        <w:outlineLvl w:val="1"/>
      </w:pPr>
      <w:bookmarkStart w:id="3" w:name="_Toc100003"/>
      <w:r>
        <w:rPr>
          <w:rFonts w:ascii="Century Gothic" w:hAnsi="Century Gothic" w:eastAsia="Century Gothic" w:cs="Century Gothic"/>
          <w:b/>
          <w:bCs/>
          <w:color w:val="303232"/>
          <w:sz w:val="22"/>
          <w:szCs w:val="22"/>
          <w:lang w:val="it-IT"/>
        </w:rPr>
        <w:t xml:space="preserve">1.2  La soluzione in breve</w:t>
      </w:r>
      <w:bookmarkEnd w:id="3"/>
    </w:p>
    <w:p>
      <w:pPr>
        <w:spacing w:before="0" w:after="160" w:line="288" w:lineRule="auto"/>
        <w:jc w:val="both"/>
      </w:pPr>
      <w:r>
        <w:rPr>
          <w:rFonts w:ascii="Century Gothic" w:hAnsi="Century Gothic" w:eastAsia="Century Gothic" w:cs="Century Gothic"/>
          <w:color w:val="303232"/>
          <w:sz w:val="18"/>
          <w:szCs w:val="18"/>
          <w:lang w:val="it-IT"/>
        </w:rPr>
        <w:t xml:space="preserve">CJ Test Helper riceve il file JSON che Package Manager esporta da Salesforce Marketing Cloud e restituisce un pacchetto di test pronto all'uso:</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un CSV per ogni data extension coinvolta, con chiavi coerenti tra le tabelle e valori pronti per l'import;</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l'elenco degli scenari con l'ordine in cui eseguirli;</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un testbook nel formato del team, con un test per caso e il risultato atteso per ogni contatto;</w:t>
      </w:r>
    </w:p>
    <w:p>
      <w:pPr>
        <w:pStyle w:val="Paragrafoelenco"/>
        <w:numPr>
          <w:ilvl w:val="0"/>
          <w:numId w:val="37"/>
        </w:numPr>
        <w:spacing w:before="0" w:after="160" w:line="288" w:lineRule="auto"/>
        <w:ind w:left="567" w:hanging="283"/>
        <w:contextualSpacing w:val="0"/>
        <w:jc w:val="both"/>
      </w:pPr>
      <w:r>
        <w:rPr>
          <w:rFonts w:ascii="Century Gothic" w:hAnsi="Century Gothic" w:eastAsia="Century Gothic" w:cs="Century Gothic"/>
          <w:color w:val="303232"/>
          <w:sz w:val="18"/>
          <w:szCs w:val="18"/>
          <w:lang w:val="it-IT"/>
        </w:rPr>
        <w:t xml:space="preserve">un report che dichiara cosa è coperto, cosa resta fuori e per quale motivo.</w:t>
      </w:r>
    </w:p>
    <w:p>
      <w:pPr>
        <w:spacing w:before="0" w:after="160" w:line="288" w:lineRule="auto"/>
        <w:jc w:val="both"/>
      </w:pPr>
      <w:r>
        <w:rPr>
          <w:rFonts w:ascii="Century Gothic" w:hAnsi="Century Gothic" w:eastAsia="Century Gothic" w:cs="Century Gothic"/>
          <w:color w:val="303232"/>
          <w:sz w:val="18"/>
          <w:szCs w:val="18"/>
          <w:lang w:val="it-IT"/>
        </w:rPr>
        <w:t xml:space="preserve">Lo strumento è un programma Python deterministico. Non usa modelli linguistici e non si collega a Salesforce: tutta la conoscenza del journey viene dall'export, e lo stesso export, con le stesse impostazioni e la stessa ora di generazione, produce sempre gli stessi file. Prima di consegnarli, lo strumento li rilegge e li sottopone a sette controlli, tra cui una nuova simulazione di ogni contatto a partire dai valori effettivamente scritti nei CSV.</w:t>
      </w:r>
    </w:p>
    <w:p>
      <w:pPr>
        <w:spacing w:before="0" w:after="160" w:line="288" w:lineRule="auto"/>
        <w:jc w:val="both"/>
      </w:pPr>
      <w:r>
        <w:rPr>
          <w:rFonts w:ascii="Century Gothic" w:hAnsi="Century Gothic" w:eastAsia="Century Gothic" w:cs="Century Gothic"/>
          <w:color w:val="303232"/>
          <w:sz w:val="18"/>
          <w:szCs w:val="18"/>
          <w:lang w:val="it-IT"/>
        </w:rPr>
        <w:t xml:space="preserve">Il risultato è un cambio di scala nel lavoro di preparazione dei test. Sul journey di riferimento, 178 attività e circa 775.000 percorsi strutturali si riducono a 33 casi e 146 contatti che attraversano ogni branch raggiungibile, generati in circa 30 secondi insieme al testbook. Su undici journey realistici, ispirati a casi d'uso tipici del settore e costruiti con modelli dati e convenzioni diversi, lo strumento ha prodotto dati che superano tutti i controlli e ha messo in evidenza errori di configurazione che un test manuale avrebbe scoperto solo in esecuzione.</w:t>
      </w:r>
    </w:p>
    <w:tbl>
      <w:tblPr>
        <w:tblW w:w="9638" w:type="dxa"/>
        <w:tblBorders>
          <w:top w:val="nil"/>
          <w:left w:val="single" w:sz="24" w:space="0" w:color="BE0036"/>
          <w:bottom w:val="nil"/>
          <w:right w:val="nil"/>
          <w:insideH w:val="nil"/>
          <w:insideV w:val="nil"/>
        </w:tblBorders>
        <w:tblLayout w:type="fixed"/>
        <w:tblCellMar>
          <w:top w:w="140" w:type="dxa"/>
          <w:left w:w="220" w:type="dxa"/>
          <w:bottom w:w="140" w:type="dxa"/>
          <w:right w:w="220" w:type="dxa"/>
        </w:tblCellMar>
      </w:tblPr>
      <w:tblGrid>
        <w:gridCol w:w="9638"/>
      </w:tblGrid>
      <w:tr>
        <w:trPr>
          <w:cantSplit/>
        </w:trPr>
        <w:tc>
          <w:tcPr>
            <w:tcW w:w="9638" w:type="dxa"/>
            <w:shd w:val="clear" w:color="auto" w:fill="F6F6F6"/>
          </w:tcPr>
          <w:p>
            <w:pPr>
              <w:spacing w:before="0" w:after="80" w:line="288" w:lineRule="auto"/>
              <w:jc w:val="left"/>
            </w:pPr>
            <w:r>
              <w:rPr>
                <w:rFonts w:ascii="Century Gothic" w:hAnsi="Century Gothic" w:eastAsia="Century Gothic" w:cs="Century Gothic"/>
                <w:b/>
                <w:bCs/>
                <w:color w:val="BE0036"/>
                <w:sz w:val="18"/>
                <w:szCs w:val="18"/>
                <w:lang w:val="it-IT"/>
              </w:rPr>
              <w:t xml:space="preserve">La soluzione in cifre</w:t>
            </w:r>
          </w:p>
          <w:p>
            <w:pPr>
              <w:spacing w:before="0" w:after="0" w:line="288" w:lineRule="auto"/>
              <w:jc w:val="both"/>
            </w:pPr>
            <w:r>
              <w:rPr>
                <w:rFonts w:ascii="Century Gothic" w:hAnsi="Century Gothic" w:eastAsia="Century Gothic" w:cs="Century Gothic"/>
                <w:color w:val="303232"/>
                <w:sz w:val="17"/>
                <w:szCs w:val="17"/>
                <w:lang w:val="it-IT"/>
              </w:rPr>
              <w:t xml:space="preserve">Undici journey realistici e 79 journey sintetici validati, con risposte attese derivate a mano. Fino a 435 milioni di combinazioni di valori per journey ridotte a poche decine di casi in pochi secondi. Sette controlli automatici su ogni pacchetto di dati, compresa la nuova simulazione di ogni contatto. Circa mille test automatici sui moduli. A parità di export, impostazioni e ora di generazione, file identici byte per byte.</w:t>
            </w:r>
          </w:p>
        </w:tc>
      </w:tr>
    </w:tbl>
    <w:p>
      <w:pPr>
        <w:spacing w:before="0" w:after="120" w:line="288" w:lineRule="auto"/>
        <w:jc w:val="both"/>
      </w:pPr>
    </w:p>
    <w:p>
      <w:pPr>
        <w:keepNext/>
        <w:keepLines/>
        <w:spacing w:before="280" w:after="100" w:line="264" w:lineRule="auto"/>
        <w:jc w:val="left"/>
        <w:outlineLvl w:val="1"/>
      </w:pPr>
      <w:bookmarkStart w:id="4" w:name="_Toc100004"/>
      <w:r>
        <w:rPr>
          <w:rFonts w:ascii="Century Gothic" w:hAnsi="Century Gothic" w:eastAsia="Century Gothic" w:cs="Century Gothic"/>
          <w:b/>
          <w:bCs/>
          <w:color w:val="303232"/>
          <w:sz w:val="22"/>
          <w:szCs w:val="22"/>
          <w:lang w:val="it-IT"/>
        </w:rPr>
        <w:t xml:space="preserve">1.3  Contenuto del documento</w:t>
      </w:r>
      <w:bookmarkEnd w:id="4"/>
    </w:p>
    <w:p>
      <w:pPr>
        <w:spacing w:before="0" w:after="160" w:line="288" w:lineRule="auto"/>
        <w:jc w:val="both"/>
      </w:pPr>
      <w:r>
        <w:rPr>
          <w:rFonts w:ascii="Century Gothic" w:hAnsi="Century Gothic" w:eastAsia="Century Gothic" w:cs="Century Gothic"/>
          <w:color w:val="303232"/>
          <w:sz w:val="18"/>
          <w:szCs w:val="18"/>
          <w:lang w:val="it-IT"/>
        </w:rPr>
        <w:t xml:space="preserve">Il documento descrive il disegno della soluzione. I capitoli 2 e 3 ne presentano i principi e l'architettura; il capitolo 4 descrive cosa viene letto dall'export. Il nucleo del disegno occupa i capitoli 5, 6 e 7: la mappa delle data extension coinvolte, la logica con cui vengono derivati i casi di test e le regole di generazione dei dati fittizi. Seguono i controlli di affidabilità, gli output e il loro uso, le assunzioni sul comportamento della piattaforma, i limiti, la validazione su un insieme di journey realistici e i punti dell'architettura predisposti per le integrazioni con l'ambiente Salesforce.</w:t>
      </w:r>
    </w:p>
    <w:p>
      <w:pPr>
        <w:keepNext/>
        <w:keepLines/>
        <w:spacing w:before="600" w:after="200" w:line="264" w:lineRule="auto"/>
        <w:jc w:val="left"/>
        <w:outlineLvl w:val="0"/>
      </w:pPr>
      <w:bookmarkStart w:id="5" w:name="_Toc100005"/>
      <w:r>
        <w:rPr>
          <w:rFonts w:ascii="Century Gothic" w:hAnsi="Century Gothic" w:eastAsia="Century Gothic" w:cs="Century Gothic"/>
          <w:b/>
          <w:bCs/>
          <w:color w:val="BE0036"/>
          <w:sz w:val="30"/>
          <w:szCs w:val="30"/>
          <w:lang w:val="it-IT"/>
        </w:rPr>
        <w:t xml:space="preserve">2  Principi di progettazione</w:t>
      </w:r>
      <w:bookmarkEnd w:id="5"/>
    </w:p>
    <w:p>
      <w:pPr>
        <w:spacing w:before="0" w:after="160" w:line="288" w:lineRule="auto"/>
        <w:jc w:val="both"/>
      </w:pPr>
      <w:r>
        <w:rPr>
          <w:rFonts w:ascii="Century Gothic" w:hAnsi="Century Gothic" w:eastAsia="Century Gothic" w:cs="Century Gothic"/>
          <w:color w:val="303232"/>
          <w:sz w:val="18"/>
          <w:szCs w:val="18"/>
          <w:lang w:val="it-IT"/>
        </w:rPr>
        <w:t xml:space="preserve">Alcune scelte attraversano tutto lo strumento. Conoscerle aiuta a prevederne il comportamento anche nei casi che questo documento non descrive.</w:t>
      </w:r>
    </w:p>
    <w:p>
      <w:pPr>
        <w:keepNext/>
        <w:keepLines/>
        <w:spacing w:before="280" w:after="100" w:line="264" w:lineRule="auto"/>
        <w:jc w:val="left"/>
        <w:outlineLvl w:val="1"/>
      </w:pPr>
      <w:bookmarkStart w:id="6" w:name="_Toc100006"/>
      <w:r>
        <w:rPr>
          <w:rFonts w:ascii="Century Gothic" w:hAnsi="Century Gothic" w:eastAsia="Century Gothic" w:cs="Century Gothic"/>
          <w:b/>
          <w:bCs/>
          <w:color w:val="303232"/>
          <w:sz w:val="22"/>
          <w:szCs w:val="22"/>
          <w:lang w:val="it-IT"/>
        </w:rPr>
        <w:t xml:space="preserve">2.1  Tutto deriva dall'export</w:t>
      </w:r>
      <w:bookmarkEnd w:id="6"/>
    </w:p>
    <w:p>
      <w:pPr>
        <w:spacing w:before="0" w:after="160" w:line="288" w:lineRule="auto"/>
        <w:jc w:val="both"/>
      </w:pPr>
      <w:r>
        <w:rPr>
          <w:rFonts w:ascii="Century Gothic" w:hAnsi="Century Gothic" w:eastAsia="Century Gothic" w:cs="Century Gothic"/>
          <w:color w:val="303232"/>
          <w:sz w:val="18"/>
          <w:szCs w:val="18"/>
          <w:lang w:val="it-IT"/>
        </w:rPr>
        <w:t xml:space="preserve">Nel codice non compare il nome di alcuna tabella o campo. Ruoli delle data extension, livelli dei campi, chiavi e valori nascono da regole generali applicate all'export. Per questo lo stesso strumento lavora su journey di contesti diversi, con modelli dati diversi e convenzioni di denominazione proprie.</w:t>
      </w:r>
    </w:p>
    <w:p>
      <w:pPr>
        <w:keepNext/>
        <w:keepLines/>
        <w:spacing w:before="280" w:after="100" w:line="264" w:lineRule="auto"/>
        <w:jc w:val="left"/>
        <w:outlineLvl w:val="1"/>
      </w:pPr>
      <w:bookmarkStart w:id="7" w:name="_Toc100007"/>
      <w:r>
        <w:rPr>
          <w:rFonts w:ascii="Century Gothic" w:hAnsi="Century Gothic" w:eastAsia="Century Gothic" w:cs="Century Gothic"/>
          <w:b/>
          <w:bCs/>
          <w:color w:val="303232"/>
          <w:sz w:val="22"/>
          <w:szCs w:val="22"/>
          <w:lang w:val="it-IT"/>
        </w:rPr>
        <w:t xml:space="preserve">2.2  Il vocabolario è una tabella</w:t>
      </w:r>
      <w:bookmarkEnd w:id="7"/>
    </w:p>
    <w:p>
      <w:pPr>
        <w:spacing w:before="0" w:after="160" w:line="288" w:lineRule="auto"/>
        <w:jc w:val="both"/>
      </w:pPr>
      <w:r>
        <w:rPr>
          <w:rFonts w:ascii="Century Gothic" w:hAnsi="Century Gothic" w:eastAsia="Century Gothic" w:cs="Century Gothic"/>
          <w:color w:val="303232"/>
          <w:sz w:val="18"/>
          <w:szCs w:val="18"/>
          <w:lang w:val="it-IT"/>
        </w:rPr>
        <w:t xml:space="preserve">Tipi di attività, operatori delle condizioni, forme dei valori, tipi di entry source e forme SQL riconosciute sono elencati in tabelle di consultazione. Estendere il supporto a un nuovo costrutto significa aggiungere una voce. Un costrutto assente dalle tabelle viene riportato nel report e i branch che ne dipendono risultano non coperti, con il motivo: lo strumento non ne ipotizza il significato.</w:t>
      </w:r>
    </w:p>
    <w:p>
      <w:pPr>
        <w:keepNext/>
        <w:keepLines/>
        <w:spacing w:before="280" w:after="100" w:line="264" w:lineRule="auto"/>
        <w:jc w:val="left"/>
        <w:outlineLvl w:val="1"/>
      </w:pPr>
      <w:bookmarkStart w:id="8" w:name="_Toc100008"/>
      <w:r>
        <w:rPr>
          <w:rFonts w:ascii="Century Gothic" w:hAnsi="Century Gothic" w:eastAsia="Century Gothic" w:cs="Century Gothic"/>
          <w:b/>
          <w:bCs/>
          <w:color w:val="303232"/>
          <w:sz w:val="22"/>
          <w:szCs w:val="22"/>
          <w:lang w:val="it-IT"/>
        </w:rPr>
        <w:t xml:space="preserve">2.3  Una variabile raccoglie tutti i suoi vincoli</w:t>
      </w:r>
      <w:bookmarkEnd w:id="8"/>
    </w:p>
    <w:p>
      <w:pPr>
        <w:spacing w:before="0" w:after="160" w:line="288" w:lineRule="auto"/>
        <w:jc w:val="both"/>
      </w:pPr>
      <w:r>
        <w:rPr>
          <w:rFonts w:ascii="Century Gothic" w:hAnsi="Century Gothic" w:eastAsia="Century Gothic" w:cs="Century Gothic"/>
          <w:color w:val="303232"/>
          <w:sz w:val="18"/>
          <w:szCs w:val="18"/>
          <w:lang w:val="it-IT"/>
        </w:rPr>
        <w:t xml:space="preserve">Lo stesso campo può essere letto da uno split, usato come data da un wait by attribute, filtrato dalla query che alimenta il journey, copiato in un'altra tabella e citato dai criteri di uscita. Lo strumento raccoglie questi vincoli prima di scegliere un valore. Tratta inoltre come una sola variabile i campi che per costruzione contengono lo stesso dato, come la colonna che la entry query copia da una tabella sorgente nella tabella di ingresso.</w:t>
      </w:r>
    </w:p>
    <w:p>
      <w:pPr>
        <w:keepNext/>
        <w:keepLines/>
        <w:spacing w:before="280" w:after="100" w:line="264" w:lineRule="auto"/>
        <w:jc w:val="left"/>
        <w:outlineLvl w:val="1"/>
      </w:pPr>
      <w:bookmarkStart w:id="9" w:name="_Toc100009"/>
      <w:r>
        <w:rPr>
          <w:rFonts w:ascii="Century Gothic" w:hAnsi="Century Gothic" w:eastAsia="Century Gothic" w:cs="Century Gothic"/>
          <w:b/>
          <w:bCs/>
          <w:color w:val="303232"/>
          <w:sz w:val="22"/>
          <w:szCs w:val="22"/>
          <w:lang w:val="it-IT"/>
        </w:rPr>
        <w:t xml:space="preserve">2.4  Il tempo è simulato</w:t>
      </w:r>
      <w:bookmarkEnd w:id="9"/>
    </w:p>
    <w:p>
      <w:pPr>
        <w:spacing w:before="0" w:after="160" w:line="288" w:lineRule="auto"/>
        <w:jc w:val="both"/>
      </w:pPr>
      <w:r>
        <w:rPr>
          <w:rFonts w:ascii="Century Gothic" w:hAnsi="Century Gothic" w:eastAsia="Century Gothic" w:cs="Century Gothic"/>
          <w:color w:val="303232"/>
          <w:sz w:val="18"/>
          <w:szCs w:val="18"/>
          <w:lang w:val="it-IT"/>
        </w:rPr>
        <w:t xml:space="preserve">Molti journey decidono in base alle date: «la scadenza cade almeno fra 13 giorni», «attendi fino a 13 giorni prima della scadenza», «esci dal journey se la data è passata». La simulazione porta con sé un orologio che parte all'ingresso del contatto e avanza con i wait. Ogni condizione viene valutata nel momento in cui il contatto la raggiunge.</w:t>
      </w:r>
    </w:p>
    <w:p>
      <w:pPr>
        <w:keepNext/>
        <w:keepLines/>
        <w:spacing w:before="280" w:after="100" w:line="264" w:lineRule="auto"/>
        <w:jc w:val="left"/>
        <w:outlineLvl w:val="1"/>
      </w:pPr>
      <w:bookmarkStart w:id="10" w:name="_Toc100010"/>
      <w:r>
        <w:rPr>
          <w:rFonts w:ascii="Century Gothic" w:hAnsi="Century Gothic" w:eastAsia="Century Gothic" w:cs="Century Gothic"/>
          <w:b/>
          <w:bCs/>
          <w:color w:val="303232"/>
          <w:sz w:val="22"/>
          <w:szCs w:val="22"/>
          <w:lang w:val="it-IT"/>
        </w:rPr>
        <w:t xml:space="preserve">2.5  Valori robusti</w:t>
      </w:r>
      <w:bookmarkEnd w:id="10"/>
    </w:p>
    <w:p>
      <w:pPr>
        <w:spacing w:before="0" w:after="160" w:line="288" w:lineRule="auto"/>
        <w:jc w:val="both"/>
      </w:pPr>
      <w:r>
        <w:rPr>
          <w:rFonts w:ascii="Century Gothic" w:hAnsi="Century Gothic" w:eastAsia="Century Gothic" w:cs="Century Gothic"/>
          <w:color w:val="303232"/>
          <w:sz w:val="18"/>
          <w:szCs w:val="18"/>
          <w:lang w:val="it-IT"/>
        </w:rPr>
        <w:t xml:space="preserve">Quando più valori portano un contatto sugli stessi branch, lo strumento preferisce quelli che non poggiano su comportamenti non verificati della piattaforma, per esempio un valore presente a un campo vuoto, e quelli che restano validi anche se il journey viene attivato fino a un giorno dopo, la validità minima predefinita. Se i dati dipendono dalla data di oggi, il report indica entro quando importarli e attivare il journey.</w:t>
      </w:r>
    </w:p>
    <w:p>
      <w:pPr>
        <w:keepNext/>
        <w:keepLines/>
        <w:spacing w:before="280" w:after="100" w:line="264" w:lineRule="auto"/>
        <w:jc w:val="left"/>
        <w:outlineLvl w:val="1"/>
      </w:pPr>
      <w:bookmarkStart w:id="11" w:name="_Toc100011"/>
      <w:r>
        <w:rPr>
          <w:rFonts w:ascii="Century Gothic" w:hAnsi="Century Gothic" w:eastAsia="Century Gothic" w:cs="Century Gothic"/>
          <w:b/>
          <w:bCs/>
          <w:color w:val="303232"/>
          <w:sz w:val="22"/>
          <w:szCs w:val="22"/>
          <w:lang w:val="it-IT"/>
        </w:rPr>
        <w:t xml:space="preserve">2.6  Tre gradi di affidabilità</w:t>
      </w:r>
      <w:bookmarkEnd w:id="11"/>
    </w:p>
    <w:p>
      <w:pPr>
        <w:spacing w:before="0" w:after="160" w:line="288" w:lineRule="auto"/>
        <w:jc w:val="both"/>
      </w:pPr>
      <w:r>
        <w:rPr>
          <w:rFonts w:ascii="Century Gothic" w:hAnsi="Century Gothic" w:eastAsia="Century Gothic" w:cs="Century Gothic"/>
          <w:color w:val="303232"/>
          <w:sz w:val="18"/>
          <w:szCs w:val="18"/>
          <w:lang w:val="it-IT"/>
        </w:rPr>
        <w:t xml:space="preserve">Ogni informazione prodotta appartiene a una di tre categorie. È </w:t>
      </w:r>
      <w:r>
        <w:rPr>
          <w:rFonts w:ascii="Century Gothic" w:hAnsi="Century Gothic" w:eastAsia="Century Gothic" w:cs="Century Gothic"/>
          <w:b/>
          <w:bCs/>
          <w:color w:val="303232"/>
          <w:sz w:val="18"/>
          <w:szCs w:val="18"/>
          <w:lang w:val="it-IT"/>
        </w:rPr>
        <w:t xml:space="preserve">verificata</w:t>
      </w:r>
      <w:r>
        <w:rPr>
          <w:rFonts w:ascii="Century Gothic" w:hAnsi="Century Gothic" w:eastAsia="Century Gothic" w:cs="Century Gothic"/>
          <w:color w:val="303232"/>
          <w:sz w:val="18"/>
          <w:szCs w:val="18"/>
          <w:lang w:val="it-IT"/>
        </w:rPr>
        <w:t xml:space="preserve"> quando un controllo l'ha riletta dai file. È </w:t>
      </w:r>
      <w:r>
        <w:rPr>
          <w:rFonts w:ascii="Century Gothic" w:hAnsi="Century Gothic" w:eastAsia="Century Gothic" w:cs="Century Gothic"/>
          <w:b/>
          <w:bCs/>
          <w:color w:val="303232"/>
          <w:sz w:val="18"/>
          <w:szCs w:val="18"/>
          <w:lang w:val="it-IT"/>
        </w:rPr>
        <w:t xml:space="preserve">assunta</w:t>
      </w:r>
      <w:r>
        <w:rPr>
          <w:rFonts w:ascii="Century Gothic" w:hAnsi="Century Gothic" w:eastAsia="Century Gothic" w:cs="Century Gothic"/>
          <w:color w:val="303232"/>
          <w:sz w:val="18"/>
          <w:szCs w:val="18"/>
          <w:lang w:val="it-IT"/>
        </w:rPr>
        <w:t xml:space="preserve"> quando dipende da un comportamento di Salesforce non ancora confermato da un'esecuzione reale: in quel caso compare tra le assunzioni del report. È </w:t>
      </w:r>
      <w:r>
        <w:rPr>
          <w:rFonts w:ascii="Century Gothic" w:hAnsi="Century Gothic" w:eastAsia="Century Gothic" w:cs="Century Gothic"/>
          <w:b/>
          <w:bCs/>
          <w:color w:val="303232"/>
          <w:sz w:val="18"/>
          <w:szCs w:val="18"/>
          <w:lang w:val="it-IT"/>
        </w:rPr>
        <w:t xml:space="preserve">non nota</w:t>
      </w:r>
      <w:r>
        <w:rPr>
          <w:rFonts w:ascii="Century Gothic" w:hAnsi="Century Gothic" w:eastAsia="Century Gothic" w:cs="Century Gothic"/>
          <w:color w:val="303232"/>
          <w:sz w:val="18"/>
          <w:szCs w:val="18"/>
          <w:lang w:val="it-IT"/>
        </w:rPr>
        <w:t xml:space="preserve"> quando il percorso supera un elemento che lo strumento non interpreta: il risultato atteso si ferma a quell'attività e lo dichiara.</w:t>
      </w:r>
    </w:p>
    <w:p>
      <w:pPr>
        <w:keepNext/>
        <w:keepLines/>
        <w:spacing w:before="600" w:after="200" w:line="264" w:lineRule="auto"/>
        <w:jc w:val="left"/>
        <w:outlineLvl w:val="0"/>
      </w:pPr>
      <w:bookmarkStart w:id="12" w:name="_Toc100012"/>
      <w:r>
        <w:rPr>
          <w:rFonts w:ascii="Century Gothic" w:hAnsi="Century Gothic" w:eastAsia="Century Gothic" w:cs="Century Gothic"/>
          <w:b/>
          <w:bCs/>
          <w:color w:val="BE0036"/>
          <w:sz w:val="30"/>
          <w:szCs w:val="30"/>
          <w:lang w:val="it-IT"/>
        </w:rPr>
        <w:t xml:space="preserve">3  Architettura</w:t>
      </w:r>
      <w:bookmarkEnd w:id="12"/>
    </w:p>
    <w:p>
      <w:pPr>
        <w:keepNext/>
        <w:keepLines/>
        <w:spacing w:before="280" w:after="100" w:line="264" w:lineRule="auto"/>
        <w:jc w:val="left"/>
        <w:outlineLvl w:val="1"/>
      </w:pPr>
      <w:bookmarkStart w:id="13" w:name="_Toc100013"/>
      <w:r>
        <w:rPr>
          <w:rFonts w:ascii="Century Gothic" w:hAnsi="Century Gothic" w:eastAsia="Century Gothic" w:cs="Century Gothic"/>
          <w:b/>
          <w:bCs/>
          <w:color w:val="303232"/>
          <w:sz w:val="22"/>
          <w:szCs w:val="22"/>
          <w:lang w:val="it-IT"/>
        </w:rPr>
        <w:t xml:space="preserve">3.1  Il flusso di elaborazione</w:t>
      </w:r>
      <w:bookmarkEnd w:id="13"/>
    </w:p>
    <w:p>
      <w:pPr>
        <w:spacing w:before="0" w:after="160" w:line="288" w:lineRule="auto"/>
        <w:jc w:val="both"/>
      </w:pPr>
      <w:r>
        <w:rPr>
          <w:rFonts w:ascii="Century Gothic" w:hAnsi="Century Gothic" w:eastAsia="Century Gothic" w:cs="Century Gothic"/>
          <w:color w:val="303232"/>
          <w:sz w:val="18"/>
          <w:szCs w:val="18"/>
          <w:lang w:val="it-IT"/>
        </w:rPr>
        <w:t xml:space="preserve">L'elaborazione è una sequenza di passi, ciascuno affidato a un modulo. I passi comunicano attraverso un modello dati condiviso che descrive journey, tabelle, relazioni e query in una forma indipendente dal formato dell'export.</w:t>
      </w:r>
    </w:p>
    <w:p>
      <w:pPr>
        <w:spacing w:before="0" w:after="60" w:line="288" w:lineRule="auto"/>
        <w:jc w:val="both"/>
      </w:pPr>
    </w:p>
    <w:tbl>
      <w:tblPr>
        <w:tblW w:w="9638" w:type="dxa"/>
        <w:tblBorders>
          <w:top w:val="nil"/>
          <w:left w:val="nil"/>
          <w:bottom w:val="nil"/>
          <w:right w:val="nil"/>
          <w:insideH w:val="nil"/>
          <w:insideV w:val="nil"/>
        </w:tblBorders>
        <w:tblLayout w:type="fixed"/>
        <w:tblCellMar>
          <w:top w:w="0" w:type="dxa"/>
          <w:left w:w="40" w:type="dxa"/>
          <w:bottom w:w="0" w:type="dxa"/>
          <w:right w:w="40" w:type="dxa"/>
        </w:tblCellMar>
      </w:tblPr>
      <w:tblGrid>
        <w:gridCol w:w="1154"/>
        <w:gridCol w:w="260"/>
        <w:gridCol w:w="1154"/>
        <w:gridCol w:w="260"/>
        <w:gridCol w:w="1154"/>
        <w:gridCol w:w="260"/>
        <w:gridCol w:w="1154"/>
        <w:gridCol w:w="260"/>
        <w:gridCol w:w="1154"/>
        <w:gridCol w:w="260"/>
        <w:gridCol w:w="1154"/>
        <w:gridCol w:w="260"/>
        <w:gridCol w:w="1154"/>
      </w:tblGrid>
      <w:tr>
        <w:trPr>
          <w:trHeight w:val="1100" w:hRule="atLeast"/>
          <w:cantSplit/>
        </w:trPr>
        <w:tc>
          <w:tcPr>
            <w:tcW w:w="1154" w:type="dxa"/>
            <w:tcBorders>
              <w:top w:val="single" w:sz="8" w:color="BE0036"/>
              <w:left w:val="single" w:sz="8" w:color="BE0036"/>
              <w:bottom w:val="single" w:sz="8" w:color="BE0036"/>
              <w:right w:val="single" w:sz="8" w:color="BE0036"/>
            </w:tcBorders>
            <w:shd w:val="clear" w:color="auto" w:fill="FFFFFF"/>
            <w:vAlign w:val="center"/>
          </w:tcPr>
          <w:p>
            <w:pPr>
              <w:spacing w:before="120" w:after="120" w:line="240" w:lineRule="auto"/>
              <w:jc w:val="center"/>
            </w:pPr>
            <w:r>
              <w:rPr>
                <w:rFonts w:ascii="Century Gothic" w:hAnsi="Century Gothic" w:eastAsia="Century Gothic" w:cs="Century Gothic"/>
                <w:b/>
                <w:bCs/>
                <w:color w:val="BE0036"/>
                <w:sz w:val="14"/>
                <w:szCs w:val="14"/>
                <w:lang w:val="it-IT"/>
              </w:rPr>
              <w:t xml:space="preserve">Export JSON di Package Manager</w:t>
            </w:r>
          </w:p>
        </w:tc>
        <w:tc>
          <w:tcPr>
            <w:tcW w:w="260" w:type="dxa"/>
            <w:vAlign w:val="center"/>
          </w:tcPr>
          <w:p>
            <w:pPr>
              <w:spacing w:before="0" w:after="0"/>
              <w:jc w:val="center"/>
            </w:pPr>
            <w:r>
              <w:rPr>
                <w:rFonts w:ascii="Arial" w:hAnsi="Arial" w:eastAsia="Arial" w:cs="Arial"/>
                <w:b/>
                <w:bCs/>
                <w:color w:val="BE0036"/>
                <w:sz w:val="20"/>
                <w:szCs w:val="20"/>
                <w:lang w:val="it-IT"/>
              </w:rPr>
              <w:t xml:space="preserve">→</w:t>
            </w:r>
          </w:p>
        </w:tc>
        <w:tc>
          <w:tcPr>
            <w:tcW w:w="1154" w:type="dxa"/>
            <w:tcBorders>
              <w:top w:val="single" w:sz="8" w:color="BE0036"/>
              <w:left w:val="single" w:sz="8" w:color="BE0036"/>
              <w:bottom w:val="single" w:sz="8" w:color="BE0036"/>
              <w:right w:val="single" w:sz="8" w:color="BE0036"/>
            </w:tcBorders>
            <w:shd w:val="clear" w:color="auto" w:fill="BE0036"/>
            <w:vAlign w:val="center"/>
          </w:tcPr>
          <w:p>
            <w:pPr>
              <w:spacing w:before="120" w:after="120" w:line="240" w:lineRule="auto"/>
              <w:jc w:val="center"/>
            </w:pPr>
            <w:r>
              <w:rPr>
                <w:rFonts w:ascii="Century Gothic" w:hAnsi="Century Gothic" w:eastAsia="Century Gothic" w:cs="Century Gothic"/>
                <w:b/>
                <w:bCs/>
                <w:color w:val="FFFFFF"/>
                <w:sz w:val="14"/>
                <w:szCs w:val="14"/>
                <w:lang w:val="it-IT"/>
              </w:rPr>
              <w:t xml:space="preserve">Lettura e modello dati</w:t>
            </w:r>
          </w:p>
        </w:tc>
        <w:tc>
          <w:tcPr>
            <w:tcW w:w="260" w:type="dxa"/>
            <w:vAlign w:val="center"/>
          </w:tcPr>
          <w:p>
            <w:pPr>
              <w:spacing w:before="0" w:after="0"/>
              <w:jc w:val="center"/>
            </w:pPr>
            <w:r>
              <w:rPr>
                <w:rFonts w:ascii="Arial" w:hAnsi="Arial" w:eastAsia="Arial" w:cs="Arial"/>
                <w:b/>
                <w:bCs/>
                <w:color w:val="BE0036"/>
                <w:sz w:val="20"/>
                <w:szCs w:val="20"/>
                <w:lang w:val="it-IT"/>
              </w:rPr>
              <w:t xml:space="preserve">→</w:t>
            </w:r>
          </w:p>
        </w:tc>
        <w:tc>
          <w:tcPr>
            <w:tcW w:w="1154" w:type="dxa"/>
            <w:tcBorders>
              <w:top w:val="single" w:sz="8" w:color="BE0036"/>
              <w:left w:val="single" w:sz="8" w:color="BE0036"/>
              <w:bottom w:val="single" w:sz="8" w:color="BE0036"/>
              <w:right w:val="single" w:sz="8" w:color="BE0036"/>
            </w:tcBorders>
            <w:shd w:val="clear" w:color="auto" w:fill="BE0036"/>
            <w:vAlign w:val="center"/>
          </w:tcPr>
          <w:p>
            <w:pPr>
              <w:spacing w:before="120" w:after="120" w:line="240" w:lineRule="auto"/>
              <w:jc w:val="center"/>
            </w:pPr>
            <w:r>
              <w:rPr>
                <w:rFonts w:ascii="Century Gothic" w:hAnsi="Century Gothic" w:eastAsia="Century Gothic" w:cs="Century Gothic"/>
                <w:b/>
                <w:bCs/>
                <w:color w:val="FFFFFF"/>
                <w:sz w:val="14"/>
                <w:szCs w:val="14"/>
                <w:lang w:val="it-IT"/>
              </w:rPr>
              <w:t xml:space="preserve">Mappa delle data extension</w:t>
            </w:r>
          </w:p>
        </w:tc>
        <w:tc>
          <w:tcPr>
            <w:tcW w:w="260" w:type="dxa"/>
            <w:vAlign w:val="center"/>
          </w:tcPr>
          <w:p>
            <w:pPr>
              <w:spacing w:before="0" w:after="0"/>
              <w:jc w:val="center"/>
            </w:pPr>
            <w:r>
              <w:rPr>
                <w:rFonts w:ascii="Arial" w:hAnsi="Arial" w:eastAsia="Arial" w:cs="Arial"/>
                <w:b/>
                <w:bCs/>
                <w:color w:val="BE0036"/>
                <w:sz w:val="20"/>
                <w:szCs w:val="20"/>
                <w:lang w:val="it-IT"/>
              </w:rPr>
              <w:t xml:space="preserve">→</w:t>
            </w:r>
          </w:p>
        </w:tc>
        <w:tc>
          <w:tcPr>
            <w:tcW w:w="1154" w:type="dxa"/>
            <w:tcBorders>
              <w:top w:val="single" w:sz="8" w:color="BE0036"/>
              <w:left w:val="single" w:sz="8" w:color="BE0036"/>
              <w:bottom w:val="single" w:sz="8" w:color="BE0036"/>
              <w:right w:val="single" w:sz="8" w:color="BE0036"/>
            </w:tcBorders>
            <w:shd w:val="clear" w:color="auto" w:fill="BE0036"/>
            <w:vAlign w:val="center"/>
          </w:tcPr>
          <w:p>
            <w:pPr>
              <w:spacing w:before="120" w:after="120" w:line="240" w:lineRule="auto"/>
              <w:jc w:val="center"/>
            </w:pPr>
            <w:r>
              <w:rPr>
                <w:rFonts w:ascii="Century Gothic" w:hAnsi="Century Gothic" w:eastAsia="Century Gothic" w:cs="Century Gothic"/>
                <w:b/>
                <w:bCs/>
                <w:color w:val="FFFFFF"/>
                <w:sz w:val="14"/>
                <w:szCs w:val="14"/>
                <w:lang w:val="it-IT"/>
              </w:rPr>
              <w:t xml:space="preserve">Derivazione dei casi</w:t>
            </w:r>
          </w:p>
        </w:tc>
        <w:tc>
          <w:tcPr>
            <w:tcW w:w="260" w:type="dxa"/>
            <w:vAlign w:val="center"/>
          </w:tcPr>
          <w:p>
            <w:pPr>
              <w:spacing w:before="0" w:after="0"/>
              <w:jc w:val="center"/>
            </w:pPr>
            <w:r>
              <w:rPr>
                <w:rFonts w:ascii="Arial" w:hAnsi="Arial" w:eastAsia="Arial" w:cs="Arial"/>
                <w:b/>
                <w:bCs/>
                <w:color w:val="BE0036"/>
                <w:sz w:val="20"/>
                <w:szCs w:val="20"/>
                <w:lang w:val="it-IT"/>
              </w:rPr>
              <w:t xml:space="preserve">→</w:t>
            </w:r>
          </w:p>
        </w:tc>
        <w:tc>
          <w:tcPr>
            <w:tcW w:w="1154" w:type="dxa"/>
            <w:tcBorders>
              <w:top w:val="single" w:sz="8" w:color="BE0036"/>
              <w:left w:val="single" w:sz="8" w:color="BE0036"/>
              <w:bottom w:val="single" w:sz="8" w:color="BE0036"/>
              <w:right w:val="single" w:sz="8" w:color="BE0036"/>
            </w:tcBorders>
            <w:shd w:val="clear" w:color="auto" w:fill="BE0036"/>
            <w:vAlign w:val="center"/>
          </w:tcPr>
          <w:p>
            <w:pPr>
              <w:spacing w:before="120" w:after="120" w:line="240" w:lineRule="auto"/>
              <w:jc w:val="center"/>
            </w:pPr>
            <w:r>
              <w:rPr>
                <w:rFonts w:ascii="Century Gothic" w:hAnsi="Century Gothic" w:eastAsia="Century Gothic" w:cs="Century Gothic"/>
                <w:b/>
                <w:bCs/>
                <w:color w:val="FFFFFF"/>
                <w:sz w:val="14"/>
                <w:szCs w:val="14"/>
                <w:lang w:val="it-IT"/>
              </w:rPr>
              <w:t xml:space="preserve">Generazione dei dati</w:t>
            </w:r>
          </w:p>
        </w:tc>
        <w:tc>
          <w:tcPr>
            <w:tcW w:w="260" w:type="dxa"/>
            <w:vAlign w:val="center"/>
          </w:tcPr>
          <w:p>
            <w:pPr>
              <w:spacing w:before="0" w:after="0"/>
              <w:jc w:val="center"/>
            </w:pPr>
            <w:r>
              <w:rPr>
                <w:rFonts w:ascii="Arial" w:hAnsi="Arial" w:eastAsia="Arial" w:cs="Arial"/>
                <w:b/>
                <w:bCs/>
                <w:color w:val="BE0036"/>
                <w:sz w:val="20"/>
                <w:szCs w:val="20"/>
                <w:lang w:val="it-IT"/>
              </w:rPr>
              <w:t xml:space="preserve">→</w:t>
            </w:r>
          </w:p>
        </w:tc>
        <w:tc>
          <w:tcPr>
            <w:tcW w:w="1154" w:type="dxa"/>
            <w:tcBorders>
              <w:top w:val="single" w:sz="8" w:color="BE0036"/>
              <w:left w:val="single" w:sz="8" w:color="BE0036"/>
              <w:bottom w:val="single" w:sz="8" w:color="BE0036"/>
              <w:right w:val="single" w:sz="8" w:color="BE0036"/>
            </w:tcBorders>
            <w:shd w:val="clear" w:color="auto" w:fill="BE0036"/>
            <w:vAlign w:val="center"/>
          </w:tcPr>
          <w:p>
            <w:pPr>
              <w:spacing w:before="120" w:after="120" w:line="240" w:lineRule="auto"/>
              <w:jc w:val="center"/>
            </w:pPr>
            <w:r>
              <w:rPr>
                <w:rFonts w:ascii="Century Gothic" w:hAnsi="Century Gothic" w:eastAsia="Century Gothic" w:cs="Century Gothic"/>
                <w:b/>
                <w:bCs/>
                <w:color w:val="FFFFFF"/>
                <w:sz w:val="14"/>
                <w:szCs w:val="14"/>
                <w:lang w:val="it-IT"/>
              </w:rPr>
              <w:t xml:space="preserve">Controlli di affidabilità</w:t>
            </w:r>
          </w:p>
        </w:tc>
        <w:tc>
          <w:tcPr>
            <w:tcW w:w="260" w:type="dxa"/>
            <w:vAlign w:val="center"/>
          </w:tcPr>
          <w:p>
            <w:pPr>
              <w:spacing w:before="0" w:after="0"/>
              <w:jc w:val="center"/>
            </w:pPr>
            <w:r>
              <w:rPr>
                <w:rFonts w:ascii="Arial" w:hAnsi="Arial" w:eastAsia="Arial" w:cs="Arial"/>
                <w:b/>
                <w:bCs/>
                <w:color w:val="BE0036"/>
                <w:sz w:val="20"/>
                <w:szCs w:val="20"/>
                <w:lang w:val="it-IT"/>
              </w:rPr>
              <w:t xml:space="preserve">→</w:t>
            </w:r>
          </w:p>
        </w:tc>
        <w:tc>
          <w:tcPr>
            <w:tcW w:w="1154" w:type="dxa"/>
            <w:tcBorders>
              <w:top w:val="single" w:sz="8" w:color="BE0036"/>
              <w:left w:val="single" w:sz="8" w:color="BE0036"/>
              <w:bottom w:val="single" w:sz="8" w:color="BE0036"/>
              <w:right w:val="single" w:sz="8" w:color="BE0036"/>
            </w:tcBorders>
            <w:shd w:val="clear" w:color="auto" w:fill="FFFFFF"/>
            <w:vAlign w:val="center"/>
          </w:tcPr>
          <w:p>
            <w:pPr>
              <w:spacing w:before="120" w:after="120" w:line="240" w:lineRule="auto"/>
              <w:jc w:val="center"/>
            </w:pPr>
            <w:r>
              <w:rPr>
                <w:rFonts w:ascii="Century Gothic" w:hAnsi="Century Gothic" w:eastAsia="Century Gothic" w:cs="Century Gothic"/>
                <w:b/>
                <w:bCs/>
                <w:color w:val="BE0036"/>
                <w:sz w:val="14"/>
                <w:szCs w:val="14"/>
                <w:lang w:val="it-IT"/>
              </w:rPr>
              <w:t xml:space="preserve">CSV, testbook e report</w:t>
            </w:r>
          </w:p>
        </w:tc>
      </w:tr>
    </w:tbl>
    <w:p>
      <w:pPr>
        <w:spacing w:before="80" w:after="240" w:line="288" w:lineRule="auto"/>
        <w:jc w:val="left"/>
      </w:pPr>
      <w:r>
        <w:rPr>
          <w:rFonts w:ascii="Century Gothic" w:hAnsi="Century Gothic" w:eastAsia="Century Gothic" w:cs="Century Gothic"/>
          <w:i/>
          <w:iCs/>
          <w:color w:val="7F7F7F"/>
          <w:sz w:val="15"/>
          <w:szCs w:val="15"/>
          <w:lang w:val="it-IT"/>
        </w:rPr>
        <w:t xml:space="preserve">Figura 1. Il flusso di elaborazione, dall'export ai file consegnati al tester.</w:t>
      </w:r>
    </w:p>
    <w:p>
      <w:pPr>
        <w:spacing w:before="0" w:after="160" w:line="288" w:lineRule="auto"/>
        <w:jc w:val="both"/>
      </w:pPr>
      <w:r>
        <w:rPr>
          <w:rFonts w:ascii="Century Gothic" w:hAnsi="Century Gothic" w:eastAsia="Century Gothic" w:cs="Century Gothic"/>
          <w:color w:val="303232"/>
          <w:sz w:val="18"/>
          <w:szCs w:val="18"/>
          <w:lang w:val="it-IT"/>
        </w:rPr>
        <w:t xml:space="preserve">La lettura trasforma l'export nel modello dati. La mappa delle data extension decide quali tabelle ricevono un CSV e come sono collegate. La derivazione dei casi esplora il journey e sceglie un insieme ridotto di scenari e casi che ne copre tutti i branch raggiungibili. La generazione traduce i casi in righe, una tabella alla volta. I controlli rileggono i file scritti; infine vengono prodotti testbook, report e archivio.</w:t>
      </w:r>
    </w:p>
    <w:p>
      <w:pPr>
        <w:keepNext/>
        <w:keepLines/>
        <w:spacing w:before="280" w:after="100" w:line="264" w:lineRule="auto"/>
        <w:jc w:val="left"/>
        <w:outlineLvl w:val="1"/>
      </w:pPr>
      <w:bookmarkStart w:id="14" w:name="_Toc100014"/>
      <w:r>
        <w:rPr>
          <w:rFonts w:ascii="Century Gothic" w:hAnsi="Century Gothic" w:eastAsia="Century Gothic" w:cs="Century Gothic"/>
          <w:b/>
          <w:bCs/>
          <w:color w:val="303232"/>
          <w:sz w:val="22"/>
          <w:szCs w:val="22"/>
          <w:lang w:val="it-IT"/>
        </w:rPr>
        <w:t xml:space="preserve">3.2  I moduli</w:t>
      </w:r>
      <w:bookmarkEnd w:id="14"/>
    </w:p>
    <w:p>
      <w:pPr>
        <w:keepNext/>
        <w:spacing w:before="120" w:after="80" w:line="288" w:lineRule="auto"/>
        <w:jc w:val="left"/>
      </w:pPr>
      <w:r>
        <w:rPr>
          <w:rFonts w:ascii="Century Gothic" w:hAnsi="Century Gothic" w:eastAsia="Century Gothic" w:cs="Century Gothic"/>
          <w:i/>
          <w:iCs/>
          <w:color w:val="7F7F7F"/>
          <w:sz w:val="15"/>
          <w:szCs w:val="15"/>
          <w:lang w:val="it-IT"/>
        </w:rPr>
        <w:t xml:space="preserve">Tabella 1. I moduli del generatore.</w:t>
      </w:r>
    </w:p>
    <w:tbl>
      <w:tblPr>
        <w:tblW w:w="9638" w:type="dxa"/>
        <w:jc w:val="left"/>
        <w:tblBorders>
          <w:top w:val="single" w:sz="6" w:space="0" w:color="BE0036"/>
          <w:left w:val="nil"/>
          <w:bottom w:val="single" w:sz="6" w:space="0" w:color="BFBFBF"/>
          <w:right w:val="nil"/>
          <w:insideH w:val="single" w:sz="4" w:space="0" w:color="D9D9D9"/>
          <w:insideV w:val="nil"/>
        </w:tblBorders>
        <w:tblLayout w:type="fixed"/>
        <w:tblCellMar>
          <w:top w:w="70" w:type="dxa"/>
          <w:left w:w="100" w:type="dxa"/>
          <w:bottom w:w="70" w:type="dxa"/>
          <w:right w:w="100" w:type="dxa"/>
        </w:tblCellMar>
        <w:tblLook w:val="04A0" w:firstRow="1" w:lastRow="0" w:firstColumn="0" w:lastColumn="0" w:noHBand="0" w:noVBand="1"/>
      </w:tblPr>
      <w:tblGrid>
        <w:gridCol w:w="2300"/>
        <w:gridCol w:w="7338"/>
      </w:tblGrid>
      <w:tr>
        <w:trPr>
          <w:cantSplit/>
          <w:tblHeader/>
        </w:trPr>
        <w:tc>
          <w:tcPr>
            <w:tcW w:w="23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Modulo</w:t>
            </w:r>
          </w:p>
        </w:tc>
        <w:tc>
          <w:tcPr>
            <w:tcW w:w="7338"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Compito</w:t>
            </w:r>
          </w:p>
        </w:tc>
      </w:tr>
      <w:tr>
        <w:trPr>
          <w:cantSplit/>
        </w:trPr>
        <w:tc>
          <w:tcPr>
            <w:tcW w:w="2300" w:type="dxa"/>
            <w:vAlign w:val="top"/>
          </w:tcPr>
          <w:p>
            <w:pPr>
              <w:spacing w:before="0" w:after="0" w:line="264" w:lineRule="auto"/>
              <w:jc w:val="left"/>
            </w:pPr>
            <w:r>
              <w:rPr>
                <w:rFonts w:ascii="Consolas" w:hAnsi="Consolas" w:eastAsia="Consolas" w:cs="Consolas"/>
                <w:color w:val="303232"/>
                <w:sz w:val="15"/>
                <w:szCs w:val="15"/>
                <w:lang w:val="it-IT"/>
              </w:rPr>
              <w:t xml:space="preserve">model</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Il modello dati condiviso: journey, attività, condizioni, tabelle, relazioni, query, casi e risultati. È l'unico modulo che tutti importano.</w:t>
            </w:r>
          </w:p>
        </w:tc>
      </w:tr>
      <w:tr>
        <w:trPr>
          <w:cantSplit/>
        </w:trPr>
        <w:tc>
          <w:tcPr>
            <w:tcW w:w="2300" w:type="dxa"/>
            <w:shd w:val="clear" w:color="auto" w:fill="F6F6F6"/>
            <w:vAlign w:val="top"/>
          </w:tcPr>
          <w:p>
            <w:pPr>
              <w:spacing w:before="0" w:after="0" w:line="264" w:lineRule="auto"/>
              <w:jc w:val="left"/>
            </w:pPr>
            <w:r>
              <w:rPr>
                <w:rFonts w:ascii="Consolas" w:hAnsi="Consolas" w:eastAsia="Consolas" w:cs="Consolas"/>
                <w:color w:val="303232"/>
                <w:sz w:val="15"/>
                <w:szCs w:val="15"/>
                <w:lang w:val="it-IT"/>
              </w:rPr>
              <w:t xml:space="preserve">loader</w:t>
            </w:r>
          </w:p>
        </w:tc>
        <w:tc>
          <w:tcPr>
            <w:tcW w:w="7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Legge l'export, risolve i riferimenti interni, costruisce journey, tabelle, relazioni, query, criteri di uscita e definizione di ingresso.</w:t>
            </w:r>
          </w:p>
        </w:tc>
      </w:tr>
      <w:tr>
        <w:trPr>
          <w:cantSplit/>
        </w:trPr>
        <w:tc>
          <w:tcPr>
            <w:tcW w:w="2300" w:type="dxa"/>
            <w:vAlign w:val="top"/>
          </w:tcPr>
          <w:p>
            <w:pPr>
              <w:spacing w:before="0" w:after="0" w:line="264" w:lineRule="auto"/>
              <w:jc w:val="left"/>
            </w:pPr>
            <w:r>
              <w:rPr>
                <w:rFonts w:ascii="Consolas" w:hAnsi="Consolas" w:eastAsia="Consolas" w:cs="Consolas"/>
                <w:color w:val="303232"/>
                <w:sz w:val="15"/>
                <w:szCs w:val="15"/>
                <w:lang w:val="it-IT"/>
              </w:rPr>
              <w:t xml:space="preserve">criteria</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Interpreta i criteri degli split (XML </w:t>
            </w:r>
            <w:r>
              <w:rPr>
                <w:rFonts w:ascii="Consolas" w:hAnsi="Consolas" w:eastAsia="Consolas" w:cs="Consolas"/>
                <w:color w:val="303232"/>
                <w:sz w:val="15"/>
                <w:szCs w:val="15"/>
                <w:lang w:val="it-IT"/>
              </w:rPr>
              <w:t xml:space="preserve">FilterDefinition</w:t>
            </w:r>
            <w:r>
              <w:rPr>
                <w:rFonts w:ascii="Century Gothic" w:hAnsi="Century Gothic" w:eastAsia="Century Gothic" w:cs="Century Gothic"/>
                <w:color w:val="303232"/>
                <w:sz w:val="16"/>
                <w:szCs w:val="16"/>
                <w:lang w:val="it-IT"/>
              </w:rPr>
              <w:t xml:space="preserve">) e valuta una condizione su un valore, anche rispetto alla data dell'orologio.</w:t>
            </w:r>
          </w:p>
        </w:tc>
      </w:tr>
      <w:tr>
        <w:trPr>
          <w:cantSplit/>
        </w:trPr>
        <w:tc>
          <w:tcPr>
            <w:tcW w:w="2300" w:type="dxa"/>
            <w:shd w:val="clear" w:color="auto" w:fill="F6F6F6"/>
            <w:vAlign w:val="top"/>
          </w:tcPr>
          <w:p>
            <w:pPr>
              <w:spacing w:before="0" w:after="0" w:line="264" w:lineRule="auto"/>
              <w:jc w:val="left"/>
            </w:pPr>
            <w:r>
              <w:rPr>
                <w:rFonts w:ascii="Consolas" w:hAnsi="Consolas" w:eastAsia="Consolas" w:cs="Consolas"/>
                <w:color w:val="303232"/>
                <w:sz w:val="15"/>
                <w:szCs w:val="15"/>
                <w:lang w:val="it-IT"/>
              </w:rPr>
              <w:t xml:space="preserve">sqlparse_lite</w:t>
            </w:r>
          </w:p>
        </w:tc>
        <w:tc>
          <w:tcPr>
            <w:tcW w:w="7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Legge le query che alimentano la tabella di ingresso: tabelle sorgente, join, filtri ed espressioni della select.</w:t>
            </w:r>
          </w:p>
        </w:tc>
      </w:tr>
      <w:tr>
        <w:trPr>
          <w:cantSplit/>
        </w:trPr>
        <w:tc>
          <w:tcPr>
            <w:tcW w:w="2300" w:type="dxa"/>
            <w:vAlign w:val="top"/>
          </w:tcPr>
          <w:p>
            <w:pPr>
              <w:spacing w:before="0" w:after="0" w:line="264" w:lineRule="auto"/>
              <w:jc w:val="left"/>
            </w:pPr>
            <w:r>
              <w:rPr>
                <w:rFonts w:ascii="Consolas" w:hAnsi="Consolas" w:eastAsia="Consolas" w:cs="Consolas"/>
                <w:color w:val="303232"/>
                <w:sz w:val="15"/>
                <w:szCs w:val="15"/>
                <w:lang w:val="it-IT"/>
              </w:rPr>
              <w:t xml:space="preserve">tables</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Seleziona le data extension, classifica i campi a livello di contatto o di scenario, raggruppa le chiavi.</w:t>
            </w:r>
          </w:p>
        </w:tc>
      </w:tr>
      <w:tr>
        <w:trPr>
          <w:cantSplit/>
        </w:trPr>
        <w:tc>
          <w:tcPr>
            <w:tcW w:w="2300" w:type="dxa"/>
            <w:shd w:val="clear" w:color="auto" w:fill="F6F6F6"/>
            <w:vAlign w:val="top"/>
          </w:tcPr>
          <w:p>
            <w:pPr>
              <w:spacing w:before="0" w:after="0" w:line="264" w:lineRule="auto"/>
              <w:jc w:val="left"/>
            </w:pPr>
            <w:r>
              <w:rPr>
                <w:rFonts w:ascii="Consolas" w:hAnsi="Consolas" w:eastAsia="Consolas" w:cs="Consolas"/>
                <w:color w:val="303232"/>
                <w:sz w:val="15"/>
                <w:szCs w:val="15"/>
                <w:lang w:val="it-IT"/>
              </w:rPr>
              <w:t xml:space="preserve">graph</w:t>
            </w:r>
          </w:p>
        </w:tc>
        <w:tc>
          <w:tcPr>
            <w:tcW w:w="7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Rappresenta il journey come grafo e simula un contatto lungo un percorso, con l'orologio, le scritture e i criteri di uscita.</w:t>
            </w:r>
          </w:p>
        </w:tc>
      </w:tr>
      <w:tr>
        <w:trPr>
          <w:cantSplit/>
        </w:trPr>
        <w:tc>
          <w:tcPr>
            <w:tcW w:w="2300" w:type="dxa"/>
            <w:vAlign w:val="top"/>
          </w:tcPr>
          <w:p>
            <w:pPr>
              <w:spacing w:before="0" w:after="0" w:line="264" w:lineRule="auto"/>
              <w:jc w:val="left"/>
            </w:pPr>
            <w:r>
              <w:rPr>
                <w:rFonts w:ascii="Consolas" w:hAnsi="Consolas" w:eastAsia="Consolas" w:cs="Consolas"/>
                <w:color w:val="303232"/>
                <w:sz w:val="15"/>
                <w:szCs w:val="15"/>
                <w:lang w:val="it-IT"/>
              </w:rPr>
              <w:t xml:space="preserve">coverage</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Costruisce i domini dei valori, esplora i percorsi, sceglie scenari e casi, assegna a ogni branch il suo stato.</w:t>
            </w:r>
          </w:p>
        </w:tc>
      </w:tr>
      <w:tr>
        <w:trPr>
          <w:cantSplit/>
        </w:trPr>
        <w:tc>
          <w:tcPr>
            <w:tcW w:w="2300" w:type="dxa"/>
            <w:shd w:val="clear" w:color="auto" w:fill="F6F6F6"/>
            <w:vAlign w:val="top"/>
          </w:tcPr>
          <w:p>
            <w:pPr>
              <w:spacing w:before="0" w:after="0" w:line="264" w:lineRule="auto"/>
              <w:jc w:val="left"/>
            </w:pPr>
            <w:r>
              <w:rPr>
                <w:rFonts w:ascii="Consolas" w:hAnsi="Consolas" w:eastAsia="Consolas" w:cs="Consolas"/>
                <w:color w:val="303232"/>
                <w:sz w:val="15"/>
                <w:szCs w:val="15"/>
                <w:lang w:val="it-IT"/>
              </w:rPr>
              <w:t xml:space="preserve">datagen</w:t>
            </w:r>
          </w:p>
        </w:tc>
        <w:tc>
          <w:tcPr>
            <w:tcW w:w="7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Trasforma scenari e casi in righe, tabella per tabella, secondo le regole di generazione.</w:t>
            </w:r>
          </w:p>
        </w:tc>
      </w:tr>
      <w:tr>
        <w:trPr>
          <w:cantSplit/>
        </w:trPr>
        <w:tc>
          <w:tcPr>
            <w:tcW w:w="2300" w:type="dxa"/>
            <w:vAlign w:val="top"/>
          </w:tcPr>
          <w:p>
            <w:pPr>
              <w:spacing w:before="0" w:after="0" w:line="264" w:lineRule="auto"/>
              <w:jc w:val="left"/>
            </w:pPr>
            <w:r>
              <w:rPr>
                <w:rFonts w:ascii="Consolas" w:hAnsi="Consolas" w:eastAsia="Consolas" w:cs="Consolas"/>
                <w:color w:val="303232"/>
                <w:sz w:val="15"/>
                <w:szCs w:val="15"/>
                <w:lang w:val="it-IT"/>
              </w:rPr>
              <w:t xml:space="preserve">checks</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Rilegge i file scritti ed esegue i controlli di affidabilità.</w:t>
            </w:r>
          </w:p>
        </w:tc>
      </w:tr>
      <w:tr>
        <w:trPr>
          <w:cantSplit/>
        </w:trPr>
        <w:tc>
          <w:tcPr>
            <w:tcW w:w="2300" w:type="dxa"/>
            <w:shd w:val="clear" w:color="auto" w:fill="F6F6F6"/>
            <w:vAlign w:val="top"/>
          </w:tcPr>
          <w:p>
            <w:pPr>
              <w:spacing w:before="0" w:after="0" w:line="264" w:lineRule="auto"/>
              <w:jc w:val="left"/>
            </w:pPr>
            <w:r>
              <w:rPr>
                <w:rFonts w:ascii="Consolas" w:hAnsi="Consolas" w:eastAsia="Consolas" w:cs="Consolas"/>
                <w:color w:val="303232"/>
                <w:sz w:val="15"/>
                <w:szCs w:val="15"/>
                <w:lang w:val="it-IT"/>
              </w:rPr>
              <w:t xml:space="preserve">outputs</w:t>
            </w:r>
          </w:p>
        </w:tc>
        <w:tc>
          <w:tcPr>
            <w:tcW w:w="7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Scrive CSV, elenco degli scenari, report, testbook e archivio zip.</w:t>
            </w:r>
          </w:p>
        </w:tc>
      </w:tr>
      <w:tr>
        <w:trPr>
          <w:cantSplit/>
        </w:trPr>
        <w:tc>
          <w:tcPr>
            <w:tcW w:w="2300" w:type="dxa"/>
            <w:vAlign w:val="top"/>
          </w:tcPr>
          <w:p>
            <w:pPr>
              <w:spacing w:before="0" w:after="0" w:line="264" w:lineRule="auto"/>
              <w:jc w:val="left"/>
            </w:pPr>
            <w:r>
              <w:rPr>
                <w:rFonts w:ascii="Consolas" w:hAnsi="Consolas" w:eastAsia="Consolas" w:cs="Consolas"/>
                <w:color w:val="303232"/>
                <w:sz w:val="15"/>
                <w:szCs w:val="15"/>
                <w:lang w:val="it-IT"/>
              </w:rPr>
              <w:t xml:space="preserve">pipeline</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app</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Orchestrano l'esecuzione da riga di comando e dalla pagina web.</w:t>
            </w:r>
          </w:p>
        </w:tc>
      </w:tr>
    </w:tbl>
    <w:p>
      <w:pPr>
        <w:spacing w:before="0" w:after="160" w:line="120" w:lineRule="exact"/>
        <w:jc w:val="both"/>
      </w:pPr>
    </w:p>
    <w:p>
      <w:pPr>
        <w:keepNext/>
        <w:keepLines/>
        <w:spacing w:before="280" w:after="100" w:line="264" w:lineRule="auto"/>
        <w:jc w:val="left"/>
        <w:outlineLvl w:val="1"/>
      </w:pPr>
      <w:bookmarkStart w:id="15" w:name="_Toc100015"/>
      <w:r>
        <w:rPr>
          <w:rFonts w:ascii="Century Gothic" w:hAnsi="Century Gothic" w:eastAsia="Century Gothic" w:cs="Century Gothic"/>
          <w:b/>
          <w:bCs/>
          <w:color w:val="303232"/>
          <w:sz w:val="22"/>
          <w:szCs w:val="22"/>
          <w:lang w:val="it-IT"/>
        </w:rPr>
        <w:t xml:space="preserve">3.3  Interfacce e requisiti</w:t>
      </w:r>
      <w:bookmarkEnd w:id="15"/>
    </w:p>
    <w:p>
      <w:pPr>
        <w:spacing w:before="0" w:after="160" w:line="288" w:lineRule="auto"/>
        <w:jc w:val="both"/>
      </w:pPr>
      <w:r>
        <w:rPr>
          <w:rFonts w:ascii="Century Gothic" w:hAnsi="Century Gothic" w:eastAsia="Century Gothic" w:cs="Century Gothic"/>
          <w:color w:val="303232"/>
          <w:sz w:val="18"/>
          <w:szCs w:val="18"/>
          <w:lang w:val="it-IT"/>
        </w:rPr>
        <w:t xml:space="preserve">Il generatore è un pacchetto Python privo di dipendenze da Salesforce e dall'interfaccia utente. Si usa da riga di comando oppure da una pagina web locale che guida l'utente in quattro passi: caricamento dell'export, revisione di quanto rilevato, impostazioni, generazione e download. Il file caricato viene elaborato in memoria e non viene conservato.</w:t>
      </w:r>
    </w:p>
    <w:p>
      <w:pPr>
        <w:spacing w:before="0" w:after="160" w:line="288" w:lineRule="auto"/>
        <w:jc w:val="both"/>
      </w:pPr>
      <w:r>
        <w:rPr>
          <w:rFonts w:ascii="Century Gothic" w:hAnsi="Century Gothic" w:eastAsia="Century Gothic" w:cs="Century Gothic"/>
          <w:color w:val="303232"/>
          <w:sz w:val="18"/>
          <w:szCs w:val="18"/>
          <w:lang w:val="it-IT"/>
        </w:rPr>
        <w:t xml:space="preserve">Requisiti: Python 3.11 o successivo, </w:t>
      </w:r>
      <w:r>
        <w:rPr>
          <w:rFonts w:ascii="Consolas" w:hAnsi="Consolas" w:eastAsia="Consolas" w:cs="Consolas"/>
          <w:color w:val="303232"/>
          <w:sz w:val="17"/>
          <w:szCs w:val="17"/>
          <w:lang w:val="it-IT"/>
        </w:rPr>
        <w:t xml:space="preserve">sqlglot</w:t>
      </w:r>
      <w:r>
        <w:rPr>
          <w:rFonts w:ascii="Century Gothic" w:hAnsi="Century Gothic" w:eastAsia="Century Gothic" w:cs="Century Gothic"/>
          <w:color w:val="303232"/>
          <w:sz w:val="18"/>
          <w:szCs w:val="18"/>
          <w:lang w:val="it-IT"/>
        </w:rPr>
        <w:t xml:space="preserve"> per l'analisi del T-SQL, </w:t>
      </w:r>
      <w:r>
        <w:rPr>
          <w:rFonts w:ascii="Consolas" w:hAnsi="Consolas" w:eastAsia="Consolas" w:cs="Consolas"/>
          <w:color w:val="303232"/>
          <w:sz w:val="17"/>
          <w:szCs w:val="17"/>
          <w:lang w:val="it-IT"/>
        </w:rPr>
        <w:t xml:space="preserve">openpyxl</w:t>
      </w:r>
      <w:r>
        <w:rPr>
          <w:rFonts w:ascii="Century Gothic" w:hAnsi="Century Gothic" w:eastAsia="Century Gothic" w:cs="Century Gothic"/>
          <w:color w:val="303232"/>
          <w:sz w:val="18"/>
          <w:szCs w:val="18"/>
          <w:lang w:val="it-IT"/>
        </w:rPr>
        <w:t xml:space="preserve"> per il testbook, </w:t>
      </w:r>
      <w:r>
        <w:rPr>
          <w:rFonts w:ascii="Consolas" w:hAnsi="Consolas" w:eastAsia="Consolas" w:cs="Consolas"/>
          <w:color w:val="303232"/>
          <w:sz w:val="17"/>
          <w:szCs w:val="17"/>
          <w:lang w:val="it-IT"/>
        </w:rPr>
        <w:t xml:space="preserve">streamlit</w:t>
      </w:r>
      <w:r>
        <w:rPr>
          <w:rFonts w:ascii="Century Gothic" w:hAnsi="Century Gothic" w:eastAsia="Century Gothic" w:cs="Century Gothic"/>
          <w:color w:val="303232"/>
          <w:sz w:val="18"/>
          <w:szCs w:val="18"/>
          <w:lang w:val="it-IT"/>
        </w:rPr>
        <w:t xml:space="preserve"> per la pagina web. Su un journey di 178 attività la generazione completa richiede circa 30 secondi; i journey di qualche decina di attività richiedono pochi secondi.</w:t>
      </w:r>
    </w:p>
    <w:p>
      <w:pPr>
        <w:keepNext/>
        <w:keepLines/>
        <w:spacing w:before="600" w:after="200" w:line="264" w:lineRule="auto"/>
        <w:jc w:val="left"/>
        <w:outlineLvl w:val="0"/>
      </w:pPr>
      <w:bookmarkStart w:id="16" w:name="_Toc100016"/>
      <w:r>
        <w:rPr>
          <w:rFonts w:ascii="Century Gothic" w:hAnsi="Century Gothic" w:eastAsia="Century Gothic" w:cs="Century Gothic"/>
          <w:b/>
          <w:bCs/>
          <w:color w:val="BE0036"/>
          <w:sz w:val="30"/>
          <w:szCs w:val="30"/>
          <w:lang w:val="it-IT"/>
        </w:rPr>
        <w:t xml:space="preserve">4  Lettura dell'export</w:t>
      </w:r>
      <w:bookmarkEnd w:id="16"/>
    </w:p>
    <w:p>
      <w:pPr>
        <w:keepNext/>
        <w:keepLines/>
        <w:spacing w:before="280" w:after="100" w:line="264" w:lineRule="auto"/>
        <w:jc w:val="left"/>
        <w:outlineLvl w:val="1"/>
      </w:pPr>
      <w:bookmarkStart w:id="17" w:name="_Toc100017"/>
      <w:r>
        <w:rPr>
          <w:rFonts w:ascii="Century Gothic" w:hAnsi="Century Gothic" w:eastAsia="Century Gothic" w:cs="Century Gothic"/>
          <w:b/>
          <w:bCs/>
          <w:color w:val="303232"/>
          <w:sz w:val="22"/>
          <w:szCs w:val="22"/>
          <w:lang w:val="it-IT"/>
        </w:rPr>
        <w:t xml:space="preserve">4.1  Cosa viene letto</w:t>
      </w:r>
      <w:bookmarkEnd w:id="17"/>
    </w:p>
    <w:p>
      <w:pPr>
        <w:spacing w:before="0" w:after="160" w:line="288" w:lineRule="auto"/>
        <w:jc w:val="both"/>
      </w:pPr>
      <w:r>
        <w:rPr>
          <w:rFonts w:ascii="Century Gothic" w:hAnsi="Century Gothic" w:eastAsia="Century Gothic" w:cs="Century Gothic"/>
          <w:color w:val="303232"/>
          <w:sz w:val="18"/>
          <w:szCs w:val="18"/>
          <w:lang w:val="it-IT"/>
        </w:rPr>
        <w:t xml:space="preserve">L'unico input è il file JSON prodotto da Package Manager, che contiene già tutto ciò che serve. Lo strumento ne usa queste parti:</w:t>
      </w:r>
    </w:p>
    <w:p>
      <w:pPr>
        <w:keepNext/>
        <w:spacing w:before="120" w:after="80" w:line="288" w:lineRule="auto"/>
        <w:jc w:val="left"/>
      </w:pPr>
      <w:r>
        <w:rPr>
          <w:rFonts w:ascii="Century Gothic" w:hAnsi="Century Gothic" w:eastAsia="Century Gothic" w:cs="Century Gothic"/>
          <w:i/>
          <w:iCs/>
          <w:color w:val="7F7F7F"/>
          <w:sz w:val="15"/>
          <w:szCs w:val="15"/>
          <w:lang w:val="it-IT"/>
        </w:rPr>
        <w:t xml:space="preserve">Tabella 2. Le parti dell'export lette dallo strumento.</w:t>
      </w:r>
    </w:p>
    <w:tbl>
      <w:tblPr>
        <w:tblW w:w="9638" w:type="dxa"/>
        <w:jc w:val="left"/>
        <w:tblBorders>
          <w:top w:val="single" w:sz="6" w:space="0" w:color="BE0036"/>
          <w:left w:val="nil"/>
          <w:bottom w:val="single" w:sz="6" w:space="0" w:color="BFBFBF"/>
          <w:right w:val="nil"/>
          <w:insideH w:val="single" w:sz="4" w:space="0" w:color="D9D9D9"/>
          <w:insideV w:val="nil"/>
        </w:tblBorders>
        <w:tblLayout w:type="fixed"/>
        <w:tblCellMar>
          <w:top w:w="70" w:type="dxa"/>
          <w:left w:w="100" w:type="dxa"/>
          <w:bottom w:w="70" w:type="dxa"/>
          <w:right w:w="100" w:type="dxa"/>
        </w:tblCellMar>
        <w:tblLook w:val="04A0" w:firstRow="1" w:lastRow="0" w:firstColumn="0" w:lastColumn="0" w:noHBand="0" w:noVBand="1"/>
      </w:tblPr>
      <w:tblGrid>
        <w:gridCol w:w="3000"/>
        <w:gridCol w:w="6638"/>
      </w:tblGrid>
      <w:tr>
        <w:trPr>
          <w:cantSplit/>
          <w:tblHeader/>
        </w:trPr>
        <w:tc>
          <w:tcPr>
            <w:tcW w:w="30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Parte dell'export</w:t>
            </w:r>
          </w:p>
        </w:tc>
        <w:tc>
          <w:tcPr>
            <w:tcW w:w="6638"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Uso</w:t>
            </w:r>
          </w:p>
        </w:tc>
      </w:tr>
      <w:tr>
        <w:trPr>
          <w:cantSplit/>
        </w:trPr>
        <w:tc>
          <w:tcPr>
            <w:tcW w:w="3000" w:type="dxa"/>
            <w:vAlign w:val="top"/>
          </w:tcPr>
          <w:p>
            <w:pPr>
              <w:spacing w:before="0" w:after="0" w:line="264" w:lineRule="auto"/>
              <w:jc w:val="left"/>
            </w:pPr>
            <w:r>
              <w:rPr>
                <w:rFonts w:ascii="Consolas" w:hAnsi="Consolas" w:eastAsia="Consolas" w:cs="Consolas"/>
                <w:color w:val="303232"/>
                <w:sz w:val="15"/>
                <w:szCs w:val="15"/>
                <w:lang w:val="it-IT"/>
              </w:rPr>
              <w:t xml:space="preserve">journeys</w:t>
            </w:r>
          </w:p>
        </w:tc>
        <w:tc>
          <w:tcPr>
            <w:tcW w:w="66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Attività, esiti e collegamenti tra attività, criteri degli split, wait, email, SMS, update contact, criteri di uscita, modalità di ingresso, indirizzo email e numero mobile predefiniti.</w:t>
            </w:r>
          </w:p>
        </w:tc>
      </w:tr>
      <w:tr>
        <w:trPr>
          <w:cantSplit/>
        </w:trPr>
        <w:tc>
          <w:tcPr>
            <w:tcW w:w="3000" w:type="dxa"/>
            <w:shd w:val="clear" w:color="auto" w:fill="F6F6F6"/>
            <w:vAlign w:val="top"/>
          </w:tcPr>
          <w:p>
            <w:pPr>
              <w:spacing w:before="0" w:after="0" w:line="264" w:lineRule="auto"/>
              <w:jc w:val="left"/>
            </w:pPr>
            <w:r>
              <w:rPr>
                <w:rFonts w:ascii="Consolas" w:hAnsi="Consolas" w:eastAsia="Consolas" w:cs="Consolas"/>
                <w:color w:val="303232"/>
                <w:sz w:val="15"/>
                <w:szCs w:val="15"/>
                <w:lang w:val="it-IT"/>
              </w:rPr>
              <w:t xml:space="preserve">eventDefinitions</w:t>
            </w:r>
          </w:p>
        </w:tc>
        <w:tc>
          <w:tcPr>
            <w:tcW w:w="66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La entry source: tipo, data extension di ingresso, pianificazione, automation che la alimenta.</w:t>
            </w:r>
          </w:p>
        </w:tc>
      </w:tr>
      <w:tr>
        <w:trPr>
          <w:cantSplit/>
        </w:trPr>
        <w:tc>
          <w:tcPr>
            <w:tcW w:w="3000" w:type="dxa"/>
            <w:vAlign w:val="top"/>
          </w:tcPr>
          <w:p>
            <w:pPr>
              <w:spacing w:before="0" w:after="0" w:line="264" w:lineRule="auto"/>
              <w:jc w:val="left"/>
            </w:pPr>
            <w:r>
              <w:rPr>
                <w:rFonts w:ascii="Consolas" w:hAnsi="Consolas" w:eastAsia="Consolas" w:cs="Consolas"/>
                <w:color w:val="303232"/>
                <w:sz w:val="15"/>
                <w:szCs w:val="15"/>
                <w:lang w:val="it-IT"/>
              </w:rPr>
              <w:t xml:space="preserve">dataExtensions</w:t>
            </w:r>
          </w:p>
        </w:tc>
        <w:tc>
          <w:tcPr>
            <w:tcW w:w="66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Nomi e schemi: campo, tipo, lunghezza, scala, chiave primaria, nullabilità, valore di default.</w:t>
            </w:r>
          </w:p>
        </w:tc>
      </w:tr>
      <w:tr>
        <w:trPr>
          <w:cantSplit/>
        </w:trPr>
        <w:tc>
          <w:tcPr>
            <w:tcW w:w="3000" w:type="dxa"/>
            <w:shd w:val="clear" w:color="auto" w:fill="F6F6F6"/>
            <w:vAlign w:val="top"/>
          </w:tcPr>
          <w:p>
            <w:pPr>
              <w:spacing w:before="0" w:after="0" w:line="264" w:lineRule="auto"/>
              <w:jc w:val="left"/>
            </w:pPr>
            <w:r>
              <w:rPr>
                <w:rFonts w:ascii="Consolas" w:hAnsi="Consolas" w:eastAsia="Consolas" w:cs="Consolas"/>
                <w:color w:val="303232"/>
                <w:sz w:val="15"/>
                <w:szCs w:val="15"/>
                <w:lang w:val="it-IT"/>
              </w:rPr>
              <w:t xml:space="preserve">attributeSets</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attributeRelationships</w:t>
            </w:r>
          </w:p>
        </w:tc>
        <w:tc>
          <w:tcPr>
            <w:tcW w:w="66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Come le data extension sono collegate al contatto e tra loro, e su quali campi.</w:t>
            </w:r>
          </w:p>
        </w:tc>
      </w:tr>
      <w:tr>
        <w:trPr>
          <w:cantSplit/>
        </w:trPr>
        <w:tc>
          <w:tcPr>
            <w:tcW w:w="3000" w:type="dxa"/>
            <w:vAlign w:val="top"/>
          </w:tcPr>
          <w:p>
            <w:pPr>
              <w:spacing w:before="0" w:after="0" w:line="264" w:lineRule="auto"/>
              <w:jc w:val="left"/>
            </w:pPr>
            <w:r>
              <w:rPr>
                <w:rFonts w:ascii="Consolas" w:hAnsi="Consolas" w:eastAsia="Consolas" w:cs="Consolas"/>
                <w:color w:val="303232"/>
                <w:sz w:val="15"/>
                <w:szCs w:val="15"/>
                <w:lang w:val="it-IT"/>
              </w:rPr>
              <w:t xml:space="preserve">automations</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queryActivities</w:t>
            </w:r>
          </w:p>
        </w:tc>
        <w:tc>
          <w:tcPr>
            <w:tcW w:w="66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Le query SQL che popolano la tabella di ingresso e le tabelle da cui leggono.</w:t>
            </w:r>
          </w:p>
        </w:tc>
      </w:tr>
      <w:tr>
        <w:trPr>
          <w:cantSplit/>
        </w:trPr>
        <w:tc>
          <w:tcPr>
            <w:tcW w:w="3000" w:type="dxa"/>
            <w:shd w:val="clear" w:color="auto" w:fill="F6F6F6"/>
            <w:vAlign w:val="top"/>
          </w:tcPr>
          <w:p>
            <w:pPr>
              <w:spacing w:before="0" w:after="0" w:line="264" w:lineRule="auto"/>
              <w:jc w:val="left"/>
            </w:pPr>
            <w:r>
              <w:rPr>
                <w:rFonts w:ascii="Consolas" w:hAnsi="Consolas" w:eastAsia="Consolas" w:cs="Consolas"/>
                <w:color w:val="303232"/>
                <w:sz w:val="15"/>
                <w:szCs w:val="15"/>
                <w:lang w:val="it-IT"/>
              </w:rPr>
              <w:t xml:space="preserve">assets</w:t>
            </w:r>
          </w:p>
        </w:tc>
        <w:tc>
          <w:tcPr>
            <w:tcW w:w="66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Le email inviate, per sapere se contengono link cliccabili.</w:t>
            </w:r>
          </w:p>
        </w:tc>
      </w:tr>
      <w:tr>
        <w:trPr>
          <w:cantSplit/>
        </w:trPr>
        <w:tc>
          <w:tcPr>
            <w:tcW w:w="30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segnalazioni di Package Manager</w:t>
            </w:r>
          </w:p>
        </w:tc>
        <w:tc>
          <w:tcPr>
            <w:tcW w:w="66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Avvisi ed errori sugli elementi usati dal journey, riportati nel report.</w:t>
            </w:r>
          </w:p>
        </w:tc>
      </w:tr>
    </w:tbl>
    <w:p>
      <w:pPr>
        <w:spacing w:before="0" w:after="160" w:line="120" w:lineRule="exact"/>
        <w:jc w:val="both"/>
      </w:pPr>
    </w:p>
    <w:p>
      <w:pPr>
        <w:spacing w:before="0" w:after="160" w:line="288" w:lineRule="auto"/>
        <w:jc w:val="both"/>
      </w:pPr>
      <w:r>
        <w:rPr>
          <w:rFonts w:ascii="Century Gothic" w:hAnsi="Century Gothic" w:eastAsia="Century Gothic" w:cs="Century Gothic"/>
          <w:color w:val="303232"/>
          <w:sz w:val="18"/>
          <w:szCs w:val="18"/>
          <w:lang w:val="it-IT"/>
        </w:rPr>
        <w:t xml:space="preserve">I riferimenti interni dell'export (</w:t>
      </w:r>
      <w:r>
        <w:rPr>
          <w:rFonts w:ascii="Consolas" w:hAnsi="Consolas" w:eastAsia="Consolas" w:cs="Consolas"/>
          <w:color w:val="303232"/>
          <w:sz w:val="17"/>
          <w:szCs w:val="17"/>
          <w:lang w:val="it-IT"/>
        </w:rPr>
        <w:t xml:space="preserve">{{mcpm#/entities/...}}</w:t>
      </w:r>
      <w:r>
        <w:rPr>
          <w:rFonts w:ascii="Century Gothic" w:hAnsi="Century Gothic" w:eastAsia="Century Gothic" w:cs="Century Gothic"/>
          <w:color w:val="303232"/>
          <w:sz w:val="18"/>
          <w:szCs w:val="18"/>
          <w:lang w:val="it-IT"/>
        </w:rPr>
        <w:t xml:space="preserve">) vengono risolti nei nomi reali prima di ogni altra elaborazione, anche quando compaiono dentro il testo SQL o l'XML dei criteri. Se il package contiene più journey, viene usato quello selezionato al momento dell'esportazione.</w:t>
      </w:r>
    </w:p>
    <w:p>
      <w:pPr>
        <w:keepNext/>
        <w:keepLines/>
        <w:spacing w:before="280" w:after="100" w:line="264" w:lineRule="auto"/>
        <w:jc w:val="left"/>
        <w:outlineLvl w:val="1"/>
      </w:pPr>
      <w:bookmarkStart w:id="18" w:name="_Toc100018"/>
      <w:r>
        <w:rPr>
          <w:rFonts w:ascii="Century Gothic" w:hAnsi="Century Gothic" w:eastAsia="Century Gothic" w:cs="Century Gothic"/>
          <w:b/>
          <w:bCs/>
          <w:color w:val="303232"/>
          <w:sz w:val="22"/>
          <w:szCs w:val="22"/>
          <w:lang w:val="it-IT"/>
        </w:rPr>
        <w:t xml:space="preserve">4.2  Costrutti interpretati</w:t>
      </w:r>
      <w:bookmarkEnd w:id="18"/>
    </w:p>
    <w:p>
      <w:pPr>
        <w:keepNext/>
        <w:spacing w:before="120" w:after="80" w:line="288" w:lineRule="auto"/>
        <w:jc w:val="left"/>
      </w:pPr>
      <w:r>
        <w:rPr>
          <w:rFonts w:ascii="Century Gothic" w:hAnsi="Century Gothic" w:eastAsia="Century Gothic" w:cs="Century Gothic"/>
          <w:i/>
          <w:iCs/>
          <w:color w:val="7F7F7F"/>
          <w:sz w:val="15"/>
          <w:szCs w:val="15"/>
          <w:lang w:val="it-IT"/>
        </w:rPr>
        <w:t xml:space="preserve">Tabella 3. I costrutti che lo strumento interpreta.</w:t>
      </w:r>
    </w:p>
    <w:tbl>
      <w:tblPr>
        <w:tblW w:w="9638" w:type="dxa"/>
        <w:jc w:val="left"/>
        <w:tblBorders>
          <w:top w:val="single" w:sz="6" w:space="0" w:color="BE0036"/>
          <w:left w:val="nil"/>
          <w:bottom w:val="single" w:sz="6" w:space="0" w:color="BFBFBF"/>
          <w:right w:val="nil"/>
          <w:insideH w:val="single" w:sz="4" w:space="0" w:color="D9D9D9"/>
          <w:insideV w:val="nil"/>
        </w:tblBorders>
        <w:tblLayout w:type="fixed"/>
        <w:tblCellMar>
          <w:top w:w="70" w:type="dxa"/>
          <w:left w:w="100" w:type="dxa"/>
          <w:bottom w:w="70" w:type="dxa"/>
          <w:right w:w="100" w:type="dxa"/>
        </w:tblCellMar>
        <w:tblLook w:val="04A0" w:firstRow="1" w:lastRow="0" w:firstColumn="0" w:lastColumn="0" w:noHBand="0" w:noVBand="1"/>
      </w:tblPr>
      <w:tblGrid>
        <w:gridCol w:w="2300"/>
        <w:gridCol w:w="7338"/>
      </w:tblGrid>
      <w:tr>
        <w:trPr>
          <w:cantSplit/>
          <w:tblHeader/>
        </w:trPr>
        <w:tc>
          <w:tcPr>
            <w:tcW w:w="23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Categoria</w:t>
            </w:r>
          </w:p>
        </w:tc>
        <w:tc>
          <w:tcPr>
            <w:tcW w:w="7338"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Costrutti</w:t>
            </w:r>
          </w:p>
        </w:tc>
      </w:tr>
      <w:tr>
        <w:trPr>
          <w:cantSplit/>
        </w:trPr>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Attività</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Decision split, engagement split (open e click), random split, wait by duration, wait by attribute (anche con offset rispetto alla data del campo, per esempio «13 giorni prima»), send-time wait, email, SMS, update contact.</w:t>
            </w:r>
          </w:p>
        </w:tc>
      </w:tr>
      <w:tr>
        <w:trPr>
          <w:cantSplit/>
        </w:trPr>
        <w:tc>
          <w:tcPr>
            <w:tcW w:w="2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Operatori</w:t>
            </w:r>
          </w:p>
        </w:tc>
        <w:tc>
          <w:tcPr>
            <w:tcW w:w="7338" w:type="dxa"/>
            <w:shd w:val="clear" w:color="auto" w:fill="F6F6F6"/>
            <w:vAlign w:val="top"/>
          </w:tcPr>
          <w:p>
            <w:pPr>
              <w:spacing w:before="0" w:after="0" w:line="264" w:lineRule="auto"/>
              <w:jc w:val="left"/>
            </w:pPr>
            <w:r>
              <w:rPr>
                <w:rFonts w:ascii="Consolas" w:hAnsi="Consolas" w:eastAsia="Consolas" w:cs="Consolas"/>
                <w:color w:val="303232"/>
                <w:sz w:val="15"/>
                <w:szCs w:val="15"/>
                <w:lang w:val="it-IT"/>
              </w:rPr>
              <w:t xml:space="preserve">Is</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IsNot</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Equal</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NotEqual</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IsNull</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IsNotNull</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GreaterThan</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GreaterThanOrEqual</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LessThan</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LessThanOrEqual</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Between</w:t>
            </w:r>
            <w:r>
              <w:rPr>
                <w:rFonts w:ascii="Century Gothic" w:hAnsi="Century Gothic" w:eastAsia="Century Gothic" w:cs="Century Gothic"/>
                <w:color w:val="303232"/>
                <w:sz w:val="16"/>
                <w:szCs w:val="16"/>
                <w:lang w:val="it-IT"/>
              </w:rPr>
              <w:t xml:space="preserve"> (estremi inclusi), </w:t>
            </w:r>
            <w:r>
              <w:rPr>
                <w:rFonts w:ascii="Consolas" w:hAnsi="Consolas" w:eastAsia="Consolas" w:cs="Consolas"/>
                <w:color w:val="303232"/>
                <w:sz w:val="15"/>
                <w:szCs w:val="15"/>
                <w:lang w:val="it-IT"/>
              </w:rPr>
              <w:t xml:space="preserve">Contains</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BeginsWith</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EndsWith</w:t>
            </w:r>
            <w:r>
              <w:rPr>
                <w:rFonts w:ascii="Century Gothic" w:hAnsi="Century Gothic" w:eastAsia="Century Gothic" w:cs="Century Gothic"/>
                <w:color w:val="303232"/>
                <w:sz w:val="16"/>
                <w:szCs w:val="16"/>
                <w:lang w:val="it-IT"/>
              </w:rPr>
              <w:t xml:space="preserve">; per le date </w:t>
            </w:r>
            <w:r>
              <w:rPr>
                <w:rFonts w:ascii="Consolas" w:hAnsi="Consolas" w:eastAsia="Consolas" w:cs="Consolas"/>
                <w:color w:val="303232"/>
                <w:sz w:val="15"/>
                <w:szCs w:val="15"/>
                <w:lang w:val="it-IT"/>
              </w:rPr>
              <w:t xml:space="preserve">After</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AtOrAfter</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Before</w:t>
            </w:r>
            <w:r>
              <w:rPr>
                <w:rFonts w:ascii="Century Gothic" w:hAnsi="Century Gothic" w:eastAsia="Century Gothic" w:cs="Century Gothic"/>
                <w:color w:val="303232"/>
                <w:sz w:val="16"/>
                <w:szCs w:val="16"/>
                <w:lang w:val="it-IT"/>
              </w:rPr>
              <w:t xml:space="preserve">, </w:t>
            </w:r>
            <w:r>
              <w:rPr>
                <w:rFonts w:ascii="Consolas" w:hAnsi="Consolas" w:eastAsia="Consolas" w:cs="Consolas"/>
                <w:color w:val="303232"/>
                <w:sz w:val="15"/>
                <w:szCs w:val="15"/>
                <w:lang w:val="it-IT"/>
              </w:rPr>
              <w:t xml:space="preserve">AtOrBefore</w:t>
            </w:r>
            <w:r>
              <w:rPr>
                <w:rFonts w:ascii="Century Gothic" w:hAnsi="Century Gothic" w:eastAsia="Century Gothic" w:cs="Century Gothic"/>
                <w:color w:val="303232"/>
                <w:sz w:val="16"/>
                <w:szCs w:val="16"/>
                <w:lang w:val="it-IT"/>
              </w:rPr>
              <w:t xml:space="preserve">.</w:t>
            </w:r>
          </w:p>
        </w:tc>
      </w:tr>
      <w:tr>
        <w:trPr>
          <w:cantSplit/>
        </w:trPr>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Valori</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Letterali, valore vuoto, intervalli </w:t>
            </w:r>
            <w:r>
              <w:rPr>
                <w:rFonts w:ascii="Consolas" w:hAnsi="Consolas" w:eastAsia="Consolas" w:cs="Consolas"/>
                <w:color w:val="303232"/>
                <w:sz w:val="15"/>
                <w:szCs w:val="15"/>
                <w:lang w:val="it-IT"/>
              </w:rPr>
              <w:t xml:space="preserve">basso|alto</w:t>
            </w:r>
            <w:r>
              <w:rPr>
                <w:rFonts w:ascii="Century Gothic" w:hAnsi="Century Gothic" w:eastAsia="Century Gothic" w:cs="Century Gothic"/>
                <w:color w:val="303232"/>
                <w:sz w:val="16"/>
                <w:szCs w:val="16"/>
                <w:lang w:val="it-IT"/>
              </w:rPr>
              <w:t xml:space="preserve">, date relative a oggi («Today», «Today Plus 90 days», «Today Minus 7 days»).</w:t>
            </w:r>
          </w:p>
        </w:tc>
      </w:tr>
      <w:tr>
        <w:trPr>
          <w:cantSplit/>
        </w:trPr>
        <w:tc>
          <w:tcPr>
            <w:tcW w:w="2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Sorgenti dei dati</w:t>
            </w:r>
          </w:p>
        </w:tc>
        <w:tc>
          <w:tcPr>
            <w:tcW w:w="7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Contact Data e Journey Data (paragrafo 4.3); confronto tra il campo di collegamento di una tabella e la chiave del contatto, letto come «il contatto ha una riga in quella tabella».</w:t>
            </w:r>
          </w:p>
        </w:tc>
      </w:tr>
      <w:tr>
        <w:trPr>
          <w:cantSplit/>
        </w:trPr>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Tipi di campo</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Text, Number, Decimal, Boolean, Date, EmailAddress, Phone, Locale.</w:t>
            </w:r>
          </w:p>
        </w:tc>
      </w:tr>
      <w:tr>
        <w:trPr>
          <w:cantSplit/>
        </w:trPr>
        <w:tc>
          <w:tcPr>
            <w:tcW w:w="2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Entry source</w:t>
            </w:r>
          </w:p>
        </w:tc>
        <w:tc>
          <w:tcPr>
            <w:tcW w:w="7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Data extension alimentata da un'automation, data extension «Run Once» o con pianificazione ricorrente, form CloudPages, API event.</w:t>
            </w:r>
          </w:p>
        </w:tc>
      </w:tr>
      <w:tr>
        <w:trPr>
          <w:cantSplit/>
        </w:trPr>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Criteri di uscita</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Valutati alla fine di ogni wait con gli stessi operatori, sorgenti e date relative degli split.</w:t>
            </w:r>
          </w:p>
        </w:tc>
      </w:tr>
      <w:tr>
        <w:trPr>
          <w:cantSplit/>
        </w:trPr>
        <w:tc>
          <w:tcPr>
            <w:tcW w:w="2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SQL</w:t>
            </w:r>
          </w:p>
        </w:tc>
        <w:tc>
          <w:tcPr>
            <w:tcW w:w="7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Tabelle in FROM e JOIN, uguaglianze di join, filtri su uguaglianza, null, intervalli di date e data uguale a oggi più o meno N giorni; nella select colonne, letterali, data corrente, </w:t>
            </w:r>
            <w:r>
              <w:rPr>
                <w:rFonts w:ascii="Consolas" w:hAnsi="Consolas" w:eastAsia="Consolas" w:cs="Consolas"/>
                <w:color w:val="303232"/>
                <w:sz w:val="15"/>
                <w:szCs w:val="15"/>
                <w:lang w:val="it-IT"/>
              </w:rPr>
              <w:t xml:space="preserve">CONCAT</w:t>
            </w:r>
            <w:r>
              <w:rPr>
                <w:rFonts w:ascii="Century Gothic" w:hAnsi="Century Gothic" w:eastAsia="Century Gothic" w:cs="Century Gothic"/>
                <w:color w:val="303232"/>
                <w:sz w:val="16"/>
                <w:szCs w:val="16"/>
                <w:lang w:val="it-IT"/>
              </w:rPr>
              <w:t xml:space="preserve">.</w:t>
            </w:r>
          </w:p>
        </w:tc>
      </w:tr>
    </w:tbl>
    <w:p>
      <w:pPr>
        <w:spacing w:before="0" w:after="160" w:line="120" w:lineRule="exact"/>
        <w:jc w:val="both"/>
      </w:pPr>
    </w:p>
    <w:p>
      <w:pPr>
        <w:spacing w:before="0" w:after="160" w:line="288" w:lineRule="auto"/>
        <w:jc w:val="both"/>
      </w:pPr>
      <w:r>
        <w:rPr>
          <w:rFonts w:ascii="Century Gothic" w:hAnsi="Century Gothic" w:eastAsia="Century Gothic" w:cs="Century Gothic"/>
          <w:color w:val="303232"/>
          <w:sz w:val="18"/>
          <w:szCs w:val="18"/>
          <w:lang w:val="it-IT"/>
        </w:rPr>
        <w:t xml:space="preserve">Ciò che non rientra in queste categorie viene segnalato. Un'espressione SQL non riconosciuta in una colonna di ingresso, per esempio un </w:t>
      </w:r>
      <w:r>
        <w:rPr>
          <w:rFonts w:ascii="Consolas" w:hAnsi="Consolas" w:eastAsia="Consolas" w:cs="Consolas"/>
          <w:color w:val="303232"/>
          <w:sz w:val="17"/>
          <w:szCs w:val="17"/>
          <w:lang w:val="it-IT"/>
        </w:rPr>
        <w:t xml:space="preserve">CASE</w:t>
      </w:r>
      <w:r>
        <w:rPr>
          <w:rFonts w:ascii="Century Gothic" w:hAnsi="Century Gothic" w:eastAsia="Century Gothic" w:cs="Century Gothic"/>
          <w:color w:val="303232"/>
          <w:sz w:val="18"/>
          <w:szCs w:val="18"/>
          <w:lang w:val="it-IT"/>
        </w:rPr>
        <w:t xml:space="preserve">, produce un valore segnaposto oppure il valore richiesto dal caso, se uno split legge quella colonna; in entrambi i casi il report lo dice.</w:t>
      </w:r>
    </w:p>
    <w:p>
      <w:pPr>
        <w:keepNext/>
        <w:keepLines/>
        <w:spacing w:before="280" w:after="100" w:line="264" w:lineRule="auto"/>
        <w:jc w:val="left"/>
        <w:outlineLvl w:val="1"/>
      </w:pPr>
      <w:bookmarkStart w:id="19" w:name="_Toc100019"/>
      <w:r>
        <w:rPr>
          <w:rFonts w:ascii="Century Gothic" w:hAnsi="Century Gothic" w:eastAsia="Century Gothic" w:cs="Century Gothic"/>
          <w:b/>
          <w:bCs/>
          <w:color w:val="303232"/>
          <w:sz w:val="22"/>
          <w:szCs w:val="22"/>
          <w:lang w:val="it-IT"/>
        </w:rPr>
        <w:t xml:space="preserve">4.3  Contact Data e Journey Data</w:t>
      </w:r>
      <w:bookmarkEnd w:id="19"/>
    </w:p>
    <w:p>
      <w:pPr>
        <w:spacing w:before="0" w:after="160" w:line="288" w:lineRule="auto"/>
        <w:jc w:val="both"/>
      </w:pPr>
      <w:r>
        <w:rPr>
          <w:rFonts w:ascii="Century Gothic" w:hAnsi="Century Gothic" w:eastAsia="Century Gothic" w:cs="Century Gothic"/>
          <w:color w:val="303232"/>
          <w:sz w:val="18"/>
          <w:szCs w:val="18"/>
          <w:lang w:val="it-IT"/>
        </w:rPr>
        <w:t xml:space="preserve">Le condizioni di un journey leggono i dati in due modi. I </w:t>
      </w:r>
      <w:r>
        <w:rPr>
          <w:rFonts w:ascii="Century Gothic" w:hAnsi="Century Gothic" w:eastAsia="Century Gothic" w:cs="Century Gothic"/>
          <w:b/>
          <w:bCs/>
          <w:color w:val="303232"/>
          <w:sz w:val="18"/>
          <w:szCs w:val="18"/>
          <w:lang w:val="it-IT"/>
        </w:rPr>
        <w:t xml:space="preserve">Contact Data</w:t>
      </w:r>
      <w:r>
        <w:rPr>
          <w:rFonts w:ascii="Century Gothic" w:hAnsi="Century Gothic" w:eastAsia="Century Gothic" w:cs="Century Gothic"/>
          <w:color w:val="303232"/>
          <w:sz w:val="18"/>
          <w:szCs w:val="18"/>
          <w:lang w:val="it-IT"/>
        </w:rPr>
        <w:t xml:space="preserve">, scritti come </w:t>
      </w:r>
      <w:r>
        <w:rPr>
          <w:rFonts w:ascii="Consolas" w:hAnsi="Consolas" w:eastAsia="Consolas" w:cs="Consolas"/>
          <w:color w:val="303232"/>
          <w:sz w:val="17"/>
          <w:szCs w:val="17"/>
          <w:lang w:val="it-IT"/>
        </w:rPr>
        <w:t xml:space="preserve">&lt;attribute set&gt;.&lt;campo&gt;</w:t>
      </w:r>
      <w:r>
        <w:rPr>
          <w:rFonts w:ascii="Century Gothic" w:hAnsi="Century Gothic" w:eastAsia="Century Gothic" w:cs="Century Gothic"/>
          <w:color w:val="303232"/>
          <w:sz w:val="18"/>
          <w:szCs w:val="18"/>
          <w:lang w:val="it-IT"/>
        </w:rPr>
        <w:t xml:space="preserve">, vengono letti quando il contatto raggiunge lo split: se un update contact precedente ha modificato il campo, lo split vede il valore aggiornato. I </w:t>
      </w:r>
      <w:r>
        <w:rPr>
          <w:rFonts w:ascii="Century Gothic" w:hAnsi="Century Gothic" w:eastAsia="Century Gothic" w:cs="Century Gothic"/>
          <w:b/>
          <w:bCs/>
          <w:color w:val="303232"/>
          <w:sz w:val="18"/>
          <w:szCs w:val="18"/>
          <w:lang w:val="it-IT"/>
        </w:rPr>
        <w:t xml:space="preserve">Journey Data</w:t>
      </w:r>
      <w:r>
        <w:rPr>
          <w:rFonts w:ascii="Century Gothic" w:hAnsi="Century Gothic" w:eastAsia="Century Gothic" w:cs="Century Gothic"/>
          <w:color w:val="303232"/>
          <w:sz w:val="18"/>
          <w:szCs w:val="18"/>
          <w:lang w:val="it-IT"/>
        </w:rPr>
        <w:t xml:space="preserve">, scritti come </w:t>
      </w:r>
      <w:r>
        <w:rPr>
          <w:rFonts w:ascii="Consolas" w:hAnsi="Consolas" w:eastAsia="Consolas" w:cs="Consolas"/>
          <w:color w:val="303232"/>
          <w:sz w:val="17"/>
          <w:szCs w:val="17"/>
          <w:lang w:val="it-IT"/>
        </w:rPr>
        <w:t xml:space="preserve">Event.&lt;chiave evento&gt;.&lt;campo&gt;</w:t>
      </w:r>
      <w:r>
        <w:rPr>
          <w:rFonts w:ascii="Century Gothic" w:hAnsi="Century Gothic" w:eastAsia="Century Gothic" w:cs="Century Gothic"/>
          <w:color w:val="303232"/>
          <w:sz w:val="18"/>
          <w:szCs w:val="18"/>
          <w:lang w:val="it-IT"/>
        </w:rPr>
        <w:t xml:space="preserve">, sono la fotografia della riga di ingresso al momento dell'ingresso e non cambiano durante il percorso. La simulazione rispetta questa distinzione, che determina in modo diretto quali percorsi sono possibili.</w:t>
      </w:r>
    </w:p>
    <w:p>
      <w:pPr>
        <w:keepNext/>
        <w:keepLines/>
        <w:spacing w:before="600" w:after="200" w:line="264" w:lineRule="auto"/>
        <w:jc w:val="left"/>
        <w:outlineLvl w:val="0"/>
      </w:pPr>
      <w:bookmarkStart w:id="20" w:name="_Toc100020"/>
      <w:r>
        <w:rPr>
          <w:rFonts w:ascii="Century Gothic" w:hAnsi="Century Gothic" w:eastAsia="Century Gothic" w:cs="Century Gothic"/>
          <w:b/>
          <w:bCs/>
          <w:color w:val="BE0036"/>
          <w:sz w:val="30"/>
          <w:szCs w:val="30"/>
          <w:lang w:val="it-IT"/>
        </w:rPr>
        <w:t xml:space="preserve">5  Mappa delle data extension coinvolte</w:t>
      </w:r>
      <w:bookmarkEnd w:id="20"/>
    </w:p>
    <w:p>
      <w:pPr>
        <w:keepNext/>
        <w:keepLines/>
        <w:spacing w:before="280" w:after="100" w:line="264" w:lineRule="auto"/>
        <w:jc w:val="left"/>
        <w:outlineLvl w:val="1"/>
      </w:pPr>
      <w:bookmarkStart w:id="21" w:name="_Toc100021"/>
      <w:r>
        <w:rPr>
          <w:rFonts w:ascii="Century Gothic" w:hAnsi="Century Gothic" w:eastAsia="Century Gothic" w:cs="Century Gothic"/>
          <w:b/>
          <w:bCs/>
          <w:color w:val="303232"/>
          <w:sz w:val="22"/>
          <w:szCs w:val="22"/>
          <w:lang w:val="it-IT"/>
        </w:rPr>
        <w:t xml:space="preserve">5.1  La regola di selezione</w:t>
      </w:r>
      <w:bookmarkEnd w:id="21"/>
    </w:p>
    <w:p>
      <w:pPr>
        <w:spacing w:before="0" w:after="160" w:line="288" w:lineRule="auto"/>
        <w:jc w:val="both"/>
      </w:pPr>
      <w:r>
        <w:rPr>
          <w:rFonts w:ascii="Century Gothic" w:hAnsi="Century Gothic" w:eastAsia="Century Gothic" w:cs="Century Gothic"/>
          <w:color w:val="303232"/>
          <w:sz w:val="18"/>
          <w:szCs w:val="18"/>
          <w:lang w:val="it-IT"/>
        </w:rPr>
        <w:t xml:space="preserve">Una data extension riceve un CSV quando il journey, o la query che lo alimenta, ne legge il contenuto. Le tabelle che vengono solo scritte non lo ricevono: il journey le popola durante l'esecuzione. La regola è generale e si applica all'export, senza configurazioni per singolo journey.</w:t>
      </w:r>
    </w:p>
    <w:p>
      <w:pPr>
        <w:keepNext/>
        <w:spacing w:before="120" w:after="80" w:line="288" w:lineRule="auto"/>
        <w:jc w:val="left"/>
      </w:pPr>
      <w:r>
        <w:rPr>
          <w:rFonts w:ascii="Century Gothic" w:hAnsi="Century Gothic" w:eastAsia="Century Gothic" w:cs="Century Gothic"/>
          <w:i/>
          <w:iCs/>
          <w:color w:val="7F7F7F"/>
          <w:sz w:val="15"/>
          <w:szCs w:val="15"/>
          <w:lang w:val="it-IT"/>
        </w:rPr>
        <w:t xml:space="preserve">Tabella 4. I ruoli delle data extension.</w:t>
      </w:r>
    </w:p>
    <w:tbl>
      <w:tblPr>
        <w:tblW w:w="9638" w:type="dxa"/>
        <w:jc w:val="left"/>
        <w:tblBorders>
          <w:top w:val="single" w:sz="6" w:space="0" w:color="BE0036"/>
          <w:left w:val="nil"/>
          <w:bottom w:val="single" w:sz="6" w:space="0" w:color="BFBFBF"/>
          <w:right w:val="nil"/>
          <w:insideH w:val="single" w:sz="4" w:space="0" w:color="D9D9D9"/>
          <w:insideV w:val="nil"/>
        </w:tblBorders>
        <w:tblLayout w:type="fixed"/>
        <w:tblCellMar>
          <w:top w:w="70" w:type="dxa"/>
          <w:left w:w="100" w:type="dxa"/>
          <w:bottom w:w="70" w:type="dxa"/>
          <w:right w:w="100" w:type="dxa"/>
        </w:tblCellMar>
        <w:tblLook w:val="04A0" w:firstRow="1" w:lastRow="0" w:firstColumn="0" w:lastColumn="0" w:noHBand="0" w:noVBand="1"/>
      </w:tblPr>
      <w:tblGrid>
        <w:gridCol w:w="2000"/>
        <w:gridCol w:w="6038"/>
        <w:gridCol w:w="1600"/>
      </w:tblGrid>
      <w:tr>
        <w:trPr>
          <w:cantSplit/>
          <w:tblHeader/>
        </w:trPr>
        <w:tc>
          <w:tcPr>
            <w:tcW w:w="20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Ruolo</w:t>
            </w:r>
          </w:p>
        </w:tc>
        <w:tc>
          <w:tcPr>
            <w:tcW w:w="6038"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Come viene riconosciuto</w:t>
            </w:r>
          </w:p>
        </w:tc>
        <w:tc>
          <w:tcPr>
            <w:tcW w:w="16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CSV</w:t>
            </w:r>
          </w:p>
        </w:tc>
      </w:tr>
      <w:tr>
        <w:trPr>
          <w:cantSplit/>
        </w:trPr>
        <w:tc>
          <w:tcPr>
            <w:tcW w:w="20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Ingresso</w:t>
            </w:r>
          </w:p>
        </w:tc>
        <w:tc>
          <w:tcPr>
            <w:tcW w:w="60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La tabella collegata alla entry source del journey.</w:t>
            </w:r>
          </w:p>
        </w:tc>
        <w:tc>
          <w:tcPr>
            <w:tcW w:w="16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Sì</w:t>
            </w:r>
          </w:p>
        </w:tc>
      </w:tr>
      <w:tr>
        <w:trPr>
          <w:cantSplit/>
        </w:trPr>
        <w:tc>
          <w:tcPr>
            <w:tcW w:w="20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Split</w:t>
            </w:r>
          </w:p>
        </w:tc>
        <w:tc>
          <w:tcPr>
            <w:tcW w:w="60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Una tabella citata in una condizione di uno split, nel campo di un wait by attribute o in un criterio di uscita.</w:t>
            </w:r>
          </w:p>
        </w:tc>
        <w:tc>
          <w:tcPr>
            <w:tcW w:w="16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Sì</w:t>
            </w:r>
          </w:p>
        </w:tc>
      </w:tr>
      <w:tr>
        <w:trPr>
          <w:cantSplit/>
        </w:trPr>
        <w:tc>
          <w:tcPr>
            <w:tcW w:w="20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Sorgente</w:t>
            </w:r>
          </w:p>
        </w:tc>
        <w:tc>
          <w:tcPr>
            <w:tcW w:w="60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Una tabella nel FROM o nei JOIN di una query che popola la tabella di ingresso, seguita a ritroso finché nessuna query la scrive.</w:t>
            </w:r>
          </w:p>
        </w:tc>
        <w:tc>
          <w:tcPr>
            <w:tcW w:w="16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Sì</w:t>
            </w:r>
          </w:p>
        </w:tc>
      </w:tr>
      <w:tr>
        <w:trPr>
          <w:cantSplit/>
        </w:trPr>
        <w:tc>
          <w:tcPr>
            <w:tcW w:w="20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Collegamento</w:t>
            </w:r>
          </w:p>
        </w:tc>
        <w:tc>
          <w:tcPr>
            <w:tcW w:w="60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Una tabella sul percorso tra il contatto e una tabella letta: senza le sue righe il journey non raggiunge quella tabella.</w:t>
            </w:r>
          </w:p>
        </w:tc>
        <w:tc>
          <w:tcPr>
            <w:tcW w:w="16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Sì</w:t>
            </w:r>
          </w:p>
        </w:tc>
      </w:tr>
      <w:tr>
        <w:trPr>
          <w:cantSplit/>
        </w:trPr>
        <w:tc>
          <w:tcPr>
            <w:tcW w:w="20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Solo scritta</w:t>
            </w:r>
          </w:p>
        </w:tc>
        <w:tc>
          <w:tcPr>
            <w:tcW w:w="60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Destinazione di un update contact o di una query, mai letta da uno split o dalla entry query.</w:t>
            </w:r>
          </w:p>
        </w:tc>
        <w:tc>
          <w:tcPr>
            <w:tcW w:w="16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No</w:t>
            </w:r>
          </w:p>
        </w:tc>
      </w:tr>
    </w:tbl>
    <w:p>
      <w:pPr>
        <w:spacing w:before="0" w:after="160" w:line="120" w:lineRule="exact"/>
        <w:jc w:val="both"/>
      </w:pPr>
    </w:p>
    <w:p>
      <w:pPr>
        <w:spacing w:before="0" w:after="160" w:line="288" w:lineRule="auto"/>
        <w:jc w:val="both"/>
      </w:pPr>
      <w:r>
        <w:rPr>
          <w:rFonts w:ascii="Century Gothic" w:hAnsi="Century Gothic" w:eastAsia="Century Gothic" w:cs="Century Gothic"/>
          <w:color w:val="303232"/>
          <w:sz w:val="18"/>
          <w:szCs w:val="18"/>
          <w:lang w:val="it-IT"/>
        </w:rPr>
        <w:t xml:space="preserve">Il percorso tra il contatto e una tabella è indicato dall'export stesso, nelle relazioni citate dalle condizioni e nei segmenti dell'attributo dei wait. Quando manca, lo strumento cerca la catena di relazioni più corta e lo segnala.</w:t>
      </w:r>
    </w:p>
    <w:p>
      <w:pPr>
        <w:keepNext/>
        <w:keepLines/>
        <w:spacing w:before="280" w:after="100" w:line="264" w:lineRule="auto"/>
        <w:jc w:val="left"/>
        <w:outlineLvl w:val="1"/>
      </w:pPr>
      <w:bookmarkStart w:id="22" w:name="_Toc100022"/>
      <w:r>
        <w:rPr>
          <w:rFonts w:ascii="Century Gothic" w:hAnsi="Century Gothic" w:eastAsia="Century Gothic" w:cs="Century Gothic"/>
          <w:b/>
          <w:bCs/>
          <w:color w:val="303232"/>
          <w:sz w:val="22"/>
          <w:szCs w:val="22"/>
          <w:lang w:val="it-IT"/>
        </w:rPr>
        <w:t xml:space="preserve">5.2  Livello contatto e livello scenario</w:t>
      </w:r>
      <w:bookmarkEnd w:id="22"/>
    </w:p>
    <w:p>
      <w:pPr>
        <w:spacing w:before="0" w:after="160" w:line="288" w:lineRule="auto"/>
        <w:jc w:val="both"/>
      </w:pPr>
      <w:r>
        <w:rPr>
          <w:rFonts w:ascii="Century Gothic" w:hAnsi="Century Gothic" w:eastAsia="Century Gothic" w:cs="Century Gothic"/>
          <w:color w:val="303232"/>
          <w:sz w:val="18"/>
          <w:szCs w:val="18"/>
          <w:lang w:val="it-IT"/>
        </w:rPr>
        <w:t xml:space="preserve">Ogni tabella selezionata è classificata secondo il campo con cui si collega all'ingresso. È </w:t>
      </w:r>
      <w:r>
        <w:rPr>
          <w:rFonts w:ascii="Century Gothic" w:hAnsi="Century Gothic" w:eastAsia="Century Gothic" w:cs="Century Gothic"/>
          <w:b/>
          <w:bCs/>
          <w:color w:val="303232"/>
          <w:sz w:val="18"/>
          <w:szCs w:val="18"/>
          <w:lang w:val="it-IT"/>
        </w:rPr>
        <w:t xml:space="preserve">a livello di contatto</w:t>
      </w:r>
      <w:r>
        <w:rPr>
          <w:rFonts w:ascii="Century Gothic" w:hAnsi="Century Gothic" w:eastAsia="Century Gothic" w:cs="Century Gothic"/>
          <w:color w:val="303232"/>
          <w:sz w:val="18"/>
          <w:szCs w:val="18"/>
          <w:lang w:val="it-IT"/>
        </w:rPr>
        <w:t xml:space="preserve"> quando si collega sulla chiave del contatto: contiene una riga per contatto. È </w:t>
      </w:r>
      <w:r>
        <w:rPr>
          <w:rFonts w:ascii="Century Gothic" w:hAnsi="Century Gothic" w:eastAsia="Century Gothic" w:cs="Century Gothic"/>
          <w:b/>
          <w:bCs/>
          <w:color w:val="303232"/>
          <w:sz w:val="18"/>
          <w:szCs w:val="18"/>
          <w:lang w:val="it-IT"/>
        </w:rPr>
        <w:t xml:space="preserve">a livello di scenario</w:t>
      </w:r>
      <w:r>
        <w:rPr>
          <w:rFonts w:ascii="Century Gothic" w:hAnsi="Century Gothic" w:eastAsia="Century Gothic" w:cs="Century Gothic"/>
          <w:color w:val="303232"/>
          <w:sz w:val="18"/>
          <w:szCs w:val="18"/>
          <w:lang w:val="it-IT"/>
        </w:rPr>
        <w:t xml:space="preserve"> quando si collega su un altro campo, per esempio il nome di una campagna: molti contatti condividono la stessa riga. La classificazione decide la forma dei dati generati. Una tabella a livello di contatto riceve una riga per ogni contatto di test; una tabella a livello di scenario riceve una riga per scenario, e il suo campo di collegamento contiene la chiave dello scenario.</w:t>
      </w:r>
    </w:p>
    <w:p>
      <w:pPr>
        <w:keepNext/>
        <w:keepLines/>
        <w:spacing w:before="280" w:after="100" w:line="264" w:lineRule="auto"/>
        <w:jc w:val="left"/>
        <w:outlineLvl w:val="1"/>
      </w:pPr>
      <w:bookmarkStart w:id="23" w:name="_Toc100023"/>
      <w:r>
        <w:rPr>
          <w:rFonts w:ascii="Century Gothic" w:hAnsi="Century Gothic" w:eastAsia="Century Gothic" w:cs="Century Gothic"/>
          <w:b/>
          <w:bCs/>
          <w:color w:val="303232"/>
          <w:sz w:val="22"/>
          <w:szCs w:val="22"/>
          <w:lang w:val="it-IT"/>
        </w:rPr>
        <w:t xml:space="preserve">5.3  Chiavi e collegamenti</w:t>
      </w:r>
      <w:bookmarkEnd w:id="23"/>
    </w:p>
    <w:p>
      <w:pPr>
        <w:spacing w:before="0" w:after="160" w:line="288" w:lineRule="auto"/>
        <w:jc w:val="both"/>
      </w:pPr>
      <w:r>
        <w:rPr>
          <w:rFonts w:ascii="Century Gothic" w:hAnsi="Century Gothic" w:eastAsia="Century Gothic" w:cs="Century Gothic"/>
          <w:color w:val="303232"/>
          <w:sz w:val="18"/>
          <w:szCs w:val="18"/>
          <w:lang w:val="it-IT"/>
        </w:rPr>
        <w:t xml:space="preserve">La chiave del contatto è il campo che la tabella di ingresso dichiara come chiave di invio; in sua assenza, il campo collegato al contatto in Contact Builder o la chiave primaria. I campi che devono contenere la stessa chiave vengono raggruppati unendo le uguaglianze di join delle query, le relazioni tra attribute set, i collegamenti al contatto e le colonne che una query copia senza trasformarle. Ogni gruppo riceve la stessa chiave generata in tutte le tabelle che ne fanno parte.</w:t>
      </w:r>
    </w:p>
    <w:p>
      <w:pPr>
        <w:spacing w:before="0" w:after="160" w:line="288" w:lineRule="auto"/>
        <w:jc w:val="both"/>
      </w:pPr>
      <w:r>
        <w:rPr>
          <w:rFonts w:ascii="Century Gothic" w:hAnsi="Century Gothic" w:eastAsia="Century Gothic" w:cs="Century Gothic"/>
          <w:color w:val="303232"/>
          <w:sz w:val="18"/>
          <w:szCs w:val="18"/>
          <w:lang w:val="it-IT"/>
        </w:rPr>
        <w:t xml:space="preserve">Le colonne non chiave copiate dalla entry query (per esempio </w:t>
      </w:r>
      <w:r>
        <w:rPr>
          <w:rFonts w:ascii="Consolas" w:hAnsi="Consolas" w:eastAsia="Consolas" w:cs="Consolas"/>
          <w:color w:val="303232"/>
          <w:sz w:val="17"/>
          <w:szCs w:val="17"/>
          <w:lang w:val="it-IT"/>
        </w:rPr>
        <w:t xml:space="preserve">M.Emailaddress</w:t>
      </w:r>
      <w:r>
        <w:rPr>
          <w:rFonts w:ascii="Century Gothic" w:hAnsi="Century Gothic" w:eastAsia="Century Gothic" w:cs="Century Gothic"/>
          <w:color w:val="303232"/>
          <w:sz w:val="18"/>
          <w:szCs w:val="18"/>
          <w:lang w:val="it-IT"/>
        </w:rPr>
        <w:t xml:space="preserve"> nella tabella di ingresso del journey di riferimento) formano un alias: per lo strumento sono una sola variabile, rappresentata dalla colonna sorgente, e ricevono lo stesso valore in entrambe le tabelle.</w:t>
      </w:r>
    </w:p>
    <w:p>
      <w:pPr>
        <w:keepNext/>
        <w:keepLines/>
        <w:spacing w:before="280" w:after="100" w:line="264" w:lineRule="auto"/>
        <w:jc w:val="left"/>
        <w:outlineLvl w:val="1"/>
      </w:pPr>
      <w:bookmarkStart w:id="24" w:name="_Toc100024"/>
      <w:r>
        <w:rPr>
          <w:rFonts w:ascii="Century Gothic" w:hAnsi="Century Gothic" w:eastAsia="Century Gothic" w:cs="Century Gothic"/>
          <w:b/>
          <w:bCs/>
          <w:color w:val="303232"/>
          <w:sz w:val="22"/>
          <w:szCs w:val="22"/>
          <w:lang w:val="it-IT"/>
        </w:rPr>
        <w:t xml:space="preserve">5.4  Righe presenti e righe assenti</w:t>
      </w:r>
      <w:bookmarkEnd w:id="24"/>
    </w:p>
    <w:p>
      <w:pPr>
        <w:spacing w:before="0" w:after="160" w:line="288" w:lineRule="auto"/>
        <w:jc w:val="both"/>
      </w:pPr>
      <w:r>
        <w:rPr>
          <w:rFonts w:ascii="Century Gothic" w:hAnsi="Century Gothic" w:eastAsia="Century Gothic" w:cs="Century Gothic"/>
          <w:color w:val="303232"/>
          <w:sz w:val="18"/>
          <w:szCs w:val="18"/>
          <w:lang w:val="it-IT"/>
        </w:rPr>
        <w:t xml:space="preserve">Alcuni split controllano se il contatto ha una riga in una tabella collegata, per esempio se ha compilato un form. Per queste tabelle lo strumento aggiunge una variabile «riga presente o assente». Un contatto con la riga assente non compare nel CSV di quella tabella: è l'unica eccezione alla regola per cui ogni contatto trova le sue righe in tutte le tabelle collegate. Su una riga assente ogni campo vale null; un update contact su quella tabella inserisce la riga, e le letture successive la vedono presente.</w:t>
      </w:r>
    </w:p>
    <w:p>
      <w:pPr>
        <w:keepNext/>
        <w:keepLines/>
        <w:spacing w:before="280" w:after="100" w:line="264" w:lineRule="auto"/>
        <w:jc w:val="left"/>
        <w:outlineLvl w:val="1"/>
      </w:pPr>
      <w:bookmarkStart w:id="25" w:name="_Toc100025"/>
      <w:r>
        <w:rPr>
          <w:rFonts w:ascii="Century Gothic" w:hAnsi="Century Gothic" w:eastAsia="Century Gothic" w:cs="Century Gothic"/>
          <w:b/>
          <w:bCs/>
          <w:color w:val="303232"/>
          <w:sz w:val="22"/>
          <w:szCs w:val="22"/>
          <w:lang w:val="it-IT"/>
        </w:rPr>
        <w:t xml:space="preserve">5.5  Un esempio</w:t>
      </w:r>
      <w:bookmarkEnd w:id="25"/>
    </w:p>
    <w:p>
      <w:pPr>
        <w:spacing w:before="0" w:after="160" w:line="288" w:lineRule="auto"/>
        <w:jc w:val="both"/>
      </w:pPr>
      <w:r>
        <w:rPr>
          <w:rFonts w:ascii="Century Gothic" w:hAnsi="Century Gothic" w:eastAsia="Century Gothic" w:cs="Century Gothic"/>
          <w:color w:val="303232"/>
          <w:sz w:val="18"/>
          <w:szCs w:val="18"/>
          <w:lang w:val="it-IT"/>
        </w:rPr>
        <w:t xml:space="preserve">Il journey di riferimento e la sua entry query leggono quattro tabelle; altre tre sono soltanto scritte, una dal journey e due dalle query dell'automation. La mappa che lo strumento ricava è la seguente.</w:t>
      </w:r>
    </w:p>
    <w:p>
      <w:pPr>
        <w:keepNext/>
        <w:spacing w:before="120" w:after="80" w:line="288" w:lineRule="auto"/>
        <w:jc w:val="left"/>
      </w:pPr>
      <w:r>
        <w:rPr>
          <w:rFonts w:ascii="Century Gothic" w:hAnsi="Century Gothic" w:eastAsia="Century Gothic" w:cs="Century Gothic"/>
          <w:i/>
          <w:iCs/>
          <w:color w:val="7F7F7F"/>
          <w:sz w:val="15"/>
          <w:szCs w:val="15"/>
          <w:lang w:val="it-IT"/>
        </w:rPr>
        <w:t xml:space="preserve">Tabella 5. La mappa delle data extension del journey di riferimento.</w:t>
      </w:r>
    </w:p>
    <w:tbl>
      <w:tblPr>
        <w:tblW w:w="9638" w:type="dxa"/>
        <w:jc w:val="left"/>
        <w:tblBorders>
          <w:top w:val="single" w:sz="6" w:space="0" w:color="BE0036"/>
          <w:left w:val="nil"/>
          <w:bottom w:val="single" w:sz="6" w:space="0" w:color="BFBFBF"/>
          <w:right w:val="nil"/>
          <w:insideH w:val="single" w:sz="4" w:space="0" w:color="D9D9D9"/>
          <w:insideV w:val="nil"/>
        </w:tblBorders>
        <w:tblLayout w:type="fixed"/>
        <w:tblCellMar>
          <w:top w:w="70" w:type="dxa"/>
          <w:left w:w="100" w:type="dxa"/>
          <w:bottom w:w="70" w:type="dxa"/>
          <w:right w:w="100" w:type="dxa"/>
        </w:tblCellMar>
        <w:tblLook w:val="04A0" w:firstRow="1" w:lastRow="0" w:firstColumn="0" w:lastColumn="0" w:noHBand="0" w:noVBand="1"/>
      </w:tblPr>
      <w:tblGrid>
        <w:gridCol w:w="3000"/>
        <w:gridCol w:w="2700"/>
        <w:gridCol w:w="1700"/>
        <w:gridCol w:w="2238"/>
      </w:tblGrid>
      <w:tr>
        <w:trPr>
          <w:cantSplit/>
          <w:tblHeader/>
        </w:trPr>
        <w:tc>
          <w:tcPr>
            <w:tcW w:w="30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Tabella</w:t>
            </w:r>
          </w:p>
        </w:tc>
        <w:tc>
          <w:tcPr>
            <w:tcW w:w="27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Ruolo</w:t>
            </w:r>
          </w:p>
        </w:tc>
        <w:tc>
          <w:tcPr>
            <w:tcW w:w="17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Livello</w:t>
            </w:r>
          </w:p>
        </w:tc>
        <w:tc>
          <w:tcPr>
            <w:tcW w:w="2238"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CSV</w:t>
            </w:r>
          </w:p>
        </w:tc>
      </w:tr>
      <w:tr>
        <w:trPr>
          <w:cantSplit/>
        </w:trPr>
        <w:tc>
          <w:tcPr>
            <w:tcW w:w="30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Ingresso del journey</w:t>
            </w:r>
          </w:p>
        </w:tc>
        <w:tc>
          <w:tcPr>
            <w:tcW w:w="27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Ingresso</w:t>
            </w:r>
          </w:p>
        </w:tc>
        <w:tc>
          <w:tcPr>
            <w:tcW w:w="17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Contatto</w:t>
            </w:r>
          </w:p>
        </w:tc>
        <w:tc>
          <w:tcPr>
            <w:tcW w:w="22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Sì</w:t>
            </w:r>
          </w:p>
        </w:tc>
      </w:tr>
      <w:tr>
        <w:trPr>
          <w:cantSplit/>
        </w:trPr>
        <w:tc>
          <w:tcPr>
            <w:tcW w:w="30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Anagrafica (master)</w:t>
            </w:r>
          </w:p>
        </w:tc>
        <w:tc>
          <w:tcPr>
            <w:tcW w:w="27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Split e sorgente</w:t>
            </w:r>
          </w:p>
        </w:tc>
        <w:tc>
          <w:tcPr>
            <w:tcW w:w="17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Contatto</w:t>
            </w:r>
          </w:p>
        </w:tc>
        <w:tc>
          <w:tcPr>
            <w:tcW w:w="22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Sì</w:t>
            </w:r>
          </w:p>
        </w:tc>
      </w:tr>
      <w:tr>
        <w:trPr>
          <w:cantSplit/>
        </w:trPr>
        <w:tc>
          <w:tcPr>
            <w:tcW w:w="30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Target della campagna</w:t>
            </w:r>
          </w:p>
        </w:tc>
        <w:tc>
          <w:tcPr>
            <w:tcW w:w="27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Sorgente</w:t>
            </w:r>
          </w:p>
        </w:tc>
        <w:tc>
          <w:tcPr>
            <w:tcW w:w="17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Contatto</w:t>
            </w:r>
          </w:p>
        </w:tc>
        <w:tc>
          <w:tcPr>
            <w:tcW w:w="22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Sì</w:t>
            </w:r>
          </w:p>
        </w:tc>
      </w:tr>
      <w:tr>
        <w:trPr>
          <w:cantSplit/>
        </w:trPr>
        <w:tc>
          <w:tcPr>
            <w:tcW w:w="30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Configurazione della campagna</w:t>
            </w:r>
          </w:p>
        </w:tc>
        <w:tc>
          <w:tcPr>
            <w:tcW w:w="27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Split e sorgente</w:t>
            </w:r>
          </w:p>
        </w:tc>
        <w:tc>
          <w:tcPr>
            <w:tcW w:w="17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Scenario</w:t>
            </w:r>
          </w:p>
        </w:tc>
        <w:tc>
          <w:tcPr>
            <w:tcW w:w="22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Sì</w:t>
            </w:r>
          </w:p>
        </w:tc>
      </w:tr>
      <w:tr>
        <w:trPr>
          <w:cantSplit/>
        </w:trPr>
        <w:tc>
          <w:tcPr>
            <w:tcW w:w="30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Log del journey</w:t>
            </w:r>
          </w:p>
        </w:tc>
        <w:tc>
          <w:tcPr>
            <w:tcW w:w="27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Solo scritta</w:t>
            </w:r>
          </w:p>
        </w:tc>
        <w:tc>
          <w:tcPr>
            <w:tcW w:w="1700" w:type="dxa"/>
            <w:vAlign w:val="top"/>
          </w:tcPr>
          <w:p>
            <w:pPr>
              <w:spacing w:before="0" w:after="0" w:line="264" w:lineRule="auto"/>
              <w:jc w:val="left"/>
            </w:pPr>
          </w:p>
        </w:tc>
        <w:tc>
          <w:tcPr>
            <w:tcW w:w="22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No</w:t>
            </w:r>
          </w:p>
        </w:tc>
      </w:tr>
      <w:tr>
        <w:trPr>
          <w:cantSplit/>
        </w:trPr>
        <w:tc>
          <w:tcPr>
            <w:tcW w:w="30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Backup dell'ingresso</w:t>
            </w:r>
          </w:p>
        </w:tc>
        <w:tc>
          <w:tcPr>
            <w:tcW w:w="27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Solo scritta</w:t>
            </w:r>
          </w:p>
        </w:tc>
        <w:tc>
          <w:tcPr>
            <w:tcW w:w="1700" w:type="dxa"/>
            <w:shd w:val="clear" w:color="auto" w:fill="F6F6F6"/>
            <w:vAlign w:val="top"/>
          </w:tcPr>
          <w:p>
            <w:pPr>
              <w:spacing w:before="0" w:after="0" w:line="264" w:lineRule="auto"/>
              <w:jc w:val="left"/>
            </w:pPr>
          </w:p>
        </w:tc>
        <w:tc>
          <w:tcPr>
            <w:tcW w:w="22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No</w:t>
            </w:r>
          </w:p>
        </w:tc>
      </w:tr>
      <w:tr>
        <w:trPr>
          <w:cantSplit/>
        </w:trPr>
        <w:tc>
          <w:tcPr>
            <w:tcW w:w="30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Campagne attive</w:t>
            </w:r>
          </w:p>
        </w:tc>
        <w:tc>
          <w:tcPr>
            <w:tcW w:w="27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Solo scritta</w:t>
            </w:r>
          </w:p>
        </w:tc>
        <w:tc>
          <w:tcPr>
            <w:tcW w:w="1700" w:type="dxa"/>
            <w:vAlign w:val="top"/>
          </w:tcPr>
          <w:p>
            <w:pPr>
              <w:spacing w:before="0" w:after="0" w:line="264" w:lineRule="auto"/>
              <w:jc w:val="left"/>
            </w:pPr>
          </w:p>
        </w:tc>
        <w:tc>
          <w:tcPr>
            <w:tcW w:w="22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No</w:t>
            </w:r>
          </w:p>
        </w:tc>
      </w:tr>
    </w:tbl>
    <w:p>
      <w:pPr>
        <w:spacing w:before="0" w:after="160" w:line="120" w:lineRule="exact"/>
        <w:jc w:val="both"/>
      </w:pPr>
    </w:p>
    <w:p>
      <w:pPr>
        <w:spacing w:before="0" w:after="160" w:line="288" w:lineRule="auto"/>
        <w:jc w:val="both"/>
      </w:pPr>
      <w:r>
        <w:rPr>
          <w:rFonts w:ascii="Century Gothic" w:hAnsi="Century Gothic" w:eastAsia="Century Gothic" w:cs="Century Gothic"/>
          <w:color w:val="303232"/>
          <w:sz w:val="18"/>
          <w:szCs w:val="18"/>
          <w:lang w:val="it-IT"/>
        </w:rPr>
        <w:t xml:space="preserve">La entry query unisce anagrafica e target sulla chiave del contatto, e target e configurazione sul nome della campagna. Per questo la configurazione è a livello di scenario: ogni sua riga è una campagna, condivisa da tutti i contatti che vi partecipano, e il campo con il nome della campagna contiene la chiave dello scenario. Il target, pur non letto da alcuno split, riceve un CSV perché la entry query lo legge.</w:t>
      </w:r>
    </w:p>
    <w:p>
      <w:pPr>
        <w:keepNext/>
        <w:keepLines/>
        <w:spacing w:before="600" w:after="200" w:line="264" w:lineRule="auto"/>
        <w:jc w:val="left"/>
        <w:outlineLvl w:val="0"/>
      </w:pPr>
      <w:bookmarkStart w:id="26" w:name="_Toc100026"/>
      <w:r>
        <w:rPr>
          <w:rFonts w:ascii="Century Gothic" w:hAnsi="Century Gothic" w:eastAsia="Century Gothic" w:cs="Century Gothic"/>
          <w:b/>
          <w:bCs/>
          <w:color w:val="BE0036"/>
          <w:sz w:val="30"/>
          <w:szCs w:val="30"/>
          <w:lang w:val="it-IT"/>
        </w:rPr>
        <w:t xml:space="preserve">6  Derivazione dei casi di test</w:t>
      </w:r>
      <w:bookmarkEnd w:id="26"/>
    </w:p>
    <w:p>
      <w:pPr>
        <w:spacing w:before="0" w:after="160" w:line="288" w:lineRule="auto"/>
        <w:jc w:val="both"/>
      </w:pPr>
      <w:r>
        <w:rPr>
          <w:rFonts w:ascii="Century Gothic" w:hAnsi="Century Gothic" w:eastAsia="Century Gothic" w:cs="Century Gothic"/>
          <w:color w:val="303232"/>
          <w:sz w:val="18"/>
          <w:szCs w:val="18"/>
          <w:lang w:val="it-IT"/>
        </w:rPr>
        <w:t xml:space="preserve">L'obiettivo è che ogni branch di ogni split venga attraversato da almeno un caso, con il minor numero possibile di scenari e, a parità, di casi. Elencare i percorsi non è praticabile: il journey di riferimento ne ha circa 775.000, quasi tutti impossibili perché richiedono valori contraddittori. Lo strumento parte quindi dai valori che i campi possono assumere e lascia alla simulazione il compito di stabilire quali percorsi ne derivano.</w:t>
      </w:r>
    </w:p>
    <w:p>
      <w:pPr>
        <w:keepNext/>
        <w:keepLines/>
        <w:spacing w:before="280" w:after="100" w:line="264" w:lineRule="auto"/>
        <w:jc w:val="left"/>
        <w:outlineLvl w:val="1"/>
      </w:pPr>
      <w:bookmarkStart w:id="27" w:name="_Toc100027"/>
      <w:r>
        <w:rPr>
          <w:rFonts w:ascii="Century Gothic" w:hAnsi="Century Gothic" w:eastAsia="Century Gothic" w:cs="Century Gothic"/>
          <w:b/>
          <w:bCs/>
          <w:color w:val="303232"/>
          <w:sz w:val="22"/>
          <w:szCs w:val="22"/>
          <w:lang w:val="it-IT"/>
        </w:rPr>
        <w:t xml:space="preserve">6.1  Il journey come grafo</w:t>
      </w:r>
      <w:bookmarkEnd w:id="27"/>
    </w:p>
    <w:p>
      <w:pPr>
        <w:spacing w:before="0" w:after="160" w:line="288" w:lineRule="auto"/>
        <w:jc w:val="both"/>
      </w:pPr>
      <w:r>
        <w:rPr>
          <w:rFonts w:ascii="Century Gothic" w:hAnsi="Century Gothic" w:eastAsia="Century Gothic" w:cs="Century Gothic"/>
          <w:color w:val="303232"/>
          <w:sz w:val="18"/>
          <w:szCs w:val="18"/>
          <w:lang w:val="it-IT"/>
        </w:rPr>
        <w:t xml:space="preserve">Ogni attività è un nodo; ogni esito di un'attività è un arco verso l'attività successiva. L'attività iniziale è quella a cui nessun arco punta. Un </w:t>
      </w:r>
      <w:r>
        <w:rPr>
          <w:rFonts w:ascii="Century Gothic" w:hAnsi="Century Gothic" w:eastAsia="Century Gothic" w:cs="Century Gothic"/>
          <w:b/>
          <w:bCs/>
          <w:color w:val="303232"/>
          <w:sz w:val="18"/>
          <w:szCs w:val="18"/>
          <w:lang w:val="it-IT"/>
        </w:rPr>
        <w:t xml:space="preserve">branch</w:t>
      </w:r>
      <w:r>
        <w:rPr>
          <w:rFonts w:ascii="Century Gothic" w:hAnsi="Century Gothic" w:eastAsia="Century Gothic" w:cs="Century Gothic"/>
          <w:color w:val="303232"/>
          <w:sz w:val="18"/>
          <w:szCs w:val="18"/>
          <w:lang w:val="it-IT"/>
        </w:rPr>
        <w:t xml:space="preserve"> è un esito di uno split (decision, engagement o random). Gli esiti di un decision split vengono provati nell'ordine dell'export: vince il primo la cui condizione è vera, e il remainder raccoglie i contatti per cui nessuna condizione lo è. Le condizioni, scritte nell'export come XML con gruppi AND e OR annidati, diventano formule logiche sui campi delle tabelle.</w:t>
      </w:r>
    </w:p>
    <w:p>
      <w:pPr>
        <w:keepNext/>
        <w:keepLines/>
        <w:spacing w:before="280" w:after="100" w:line="264" w:lineRule="auto"/>
        <w:jc w:val="left"/>
        <w:outlineLvl w:val="1"/>
      </w:pPr>
      <w:bookmarkStart w:id="28" w:name="_Toc100028"/>
      <w:r>
        <w:rPr>
          <w:rFonts w:ascii="Century Gothic" w:hAnsi="Century Gothic" w:eastAsia="Century Gothic" w:cs="Century Gothic"/>
          <w:b/>
          <w:bCs/>
          <w:color w:val="303232"/>
          <w:sz w:val="22"/>
          <w:szCs w:val="22"/>
          <w:lang w:val="it-IT"/>
        </w:rPr>
        <w:t xml:space="preserve">6.2  Variabili e domini</w:t>
      </w:r>
      <w:bookmarkEnd w:id="28"/>
    </w:p>
    <w:p>
      <w:pPr>
        <w:spacing w:before="0" w:after="160" w:line="288" w:lineRule="auto"/>
        <w:jc w:val="both"/>
      </w:pPr>
      <w:r>
        <w:rPr>
          <w:rFonts w:ascii="Century Gothic" w:hAnsi="Century Gothic" w:eastAsia="Century Gothic" w:cs="Century Gothic"/>
          <w:color w:val="303232"/>
          <w:sz w:val="18"/>
          <w:szCs w:val="18"/>
          <w:lang w:val="it-IT"/>
        </w:rPr>
        <w:t xml:space="preserve">Ogni campo letto da uno split o dai criteri di uscita è una variabile. Il suo dominio è un insieme finito di valori rappresentativi, uno per ciascun modo diverso in cui il campo può decidere i branch:</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i valori citati dalle condizioni di uguaglianza e di testo, scritti con le stesse maiuscole e minuscole;</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un valore «altro», diverso da tutti quelli citati;</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il valore vuoto, se lo schema lo consente;</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per Number, Decimal e Date confrontati con operatori d'ordine o </w:t>
      </w:r>
      <w:r>
        <w:rPr>
          <w:rFonts w:ascii="Consolas" w:hAnsi="Consolas" w:eastAsia="Consolas" w:cs="Consolas"/>
          <w:color w:val="303232"/>
          <w:sz w:val="17"/>
          <w:szCs w:val="17"/>
          <w:lang w:val="it-IT"/>
        </w:rPr>
        <w:t xml:space="preserve">Between</w:t>
      </w:r>
      <w:r>
        <w:rPr>
          <w:rFonts w:ascii="Century Gothic" w:hAnsi="Century Gothic" w:eastAsia="Century Gothic" w:cs="Century Gothic"/>
          <w:color w:val="303232"/>
          <w:sz w:val="18"/>
          <w:szCs w:val="18"/>
          <w:lang w:val="it-IT"/>
        </w:rPr>
        <w:t xml:space="preserve">, un valore strettamente interno a ciascun intervallo definito dai limiti, mai un limite;</w:t>
      </w:r>
    </w:p>
    <w:p>
      <w:pPr>
        <w:pStyle w:val="Paragrafoelenco"/>
        <w:numPr>
          <w:ilvl w:val="0"/>
          <w:numId w:val="37"/>
        </w:numPr>
        <w:spacing w:before="0" w:after="160" w:line="288" w:lineRule="auto"/>
        <w:ind w:left="567" w:hanging="283"/>
        <w:contextualSpacing w:val="0"/>
        <w:jc w:val="both"/>
      </w:pPr>
      <w:r>
        <w:rPr>
          <w:rFonts w:ascii="Century Gothic" w:hAnsi="Century Gothic" w:eastAsia="Century Gothic" w:cs="Century Gothic"/>
          <w:color w:val="303232"/>
          <w:sz w:val="18"/>
          <w:szCs w:val="18"/>
          <w:lang w:val="it-IT"/>
        </w:rPr>
        <w:t xml:space="preserve">per i Boolean, entrambi i valori.</w:t>
      </w:r>
    </w:p>
    <w:p>
      <w:pPr>
        <w:spacing w:before="0" w:after="160" w:line="288" w:lineRule="auto"/>
        <w:jc w:val="both"/>
      </w:pPr>
      <w:r>
        <w:rPr>
          <w:rFonts w:ascii="Century Gothic" w:hAnsi="Century Gothic" w:eastAsia="Century Gothic" w:cs="Century Gothic"/>
          <w:color w:val="303232"/>
          <w:sz w:val="18"/>
          <w:szCs w:val="18"/>
          <w:lang w:val="it-IT"/>
        </w:rPr>
        <w:t xml:space="preserve">Un campo fissato da un filtro della entry query può assumere solo il valore che supera il filtro, perché un contatto con un altro valore non entrerebbe nel journey. Un campo chiave contiene sempre la chiave generata.</w:t>
      </w:r>
    </w:p>
    <w:p>
      <w:pPr>
        <w:keepNext/>
        <w:keepLines/>
        <w:spacing w:before="280" w:after="100" w:line="264" w:lineRule="auto"/>
        <w:jc w:val="left"/>
        <w:outlineLvl w:val="1"/>
      </w:pPr>
      <w:bookmarkStart w:id="29" w:name="_Toc100029"/>
      <w:r>
        <w:rPr>
          <w:rFonts w:ascii="Century Gothic" w:hAnsi="Century Gothic" w:eastAsia="Century Gothic" w:cs="Century Gothic"/>
          <w:b/>
          <w:bCs/>
          <w:color w:val="303232"/>
          <w:sz w:val="22"/>
          <w:szCs w:val="22"/>
          <w:lang w:val="it-IT"/>
        </w:rPr>
        <w:t xml:space="preserve">6.3  Le date relative a oggi</w:t>
      </w:r>
      <w:bookmarkEnd w:id="29"/>
    </w:p>
    <w:p>
      <w:pPr>
        <w:spacing w:before="0" w:after="160" w:line="288" w:lineRule="auto"/>
        <w:jc w:val="both"/>
      </w:pPr>
      <w:r>
        <w:rPr>
          <w:rFonts w:ascii="Century Gothic" w:hAnsi="Century Gothic" w:eastAsia="Century Gothic" w:cs="Century Gothic"/>
          <w:color w:val="303232"/>
          <w:sz w:val="18"/>
          <w:szCs w:val="18"/>
          <w:lang w:val="it-IT"/>
        </w:rPr>
        <w:t xml:space="preserve">Una condizione come «data di scadenza uguale o successiva a oggi più 13 giorni» divide l'asse del tempo in un punto che si sposta con l'orologio. Lo strumento calcola i </w:t>
      </w:r>
      <w:r>
        <w:rPr>
          <w:rFonts w:ascii="Century Gothic" w:hAnsi="Century Gothic" w:eastAsia="Century Gothic" w:cs="Century Gothic"/>
          <w:b/>
          <w:bCs/>
          <w:color w:val="303232"/>
          <w:sz w:val="18"/>
          <w:szCs w:val="18"/>
          <w:lang w:val="it-IT"/>
        </w:rPr>
        <w:t xml:space="preserve">punti di taglio</w:t>
      </w:r>
      <w:r>
        <w:rPr>
          <w:rFonts w:ascii="Century Gothic" w:hAnsi="Century Gothic" w:eastAsia="Century Gothic" w:cs="Century Gothic"/>
          <w:color w:val="303232"/>
          <w:sz w:val="18"/>
          <w:szCs w:val="18"/>
          <w:lang w:val="it-IT"/>
        </w:rPr>
        <w:t xml:space="preserve"> di ogni campo data: per ogni condizione relativa, l'offset più ciascuno dei ritardi fissi con cui un contatto può arrivare allo split; per ogni wait «N giorni prima della data», l'offset cambiato di segno, più gli stessi ritardi. I candidati sono le date ottenute spostando l'ora di ingresso di ciascun punto di taglio e di uno o due giorni attorno. I candidati che portano il contatto sugli stessi branch formano una classe, e di ogni classe resta un rappresentante.</w:t>
      </w:r>
    </w:p>
    <w:p>
      <w:pPr>
        <w:spacing w:before="0" w:after="160" w:line="288" w:lineRule="auto"/>
        <w:jc w:val="both"/>
      </w:pPr>
      <w:r>
        <w:rPr>
          <w:rFonts w:ascii="Century Gothic" w:hAnsi="Century Gothic" w:eastAsia="Century Gothic" w:cs="Century Gothic"/>
          <w:color w:val="303232"/>
          <w:sz w:val="18"/>
          <w:szCs w:val="18"/>
          <w:lang w:val="it-IT"/>
        </w:rPr>
        <w:t xml:space="preserve">Per ogni candidato lo strumento calcola anche la </w:t>
      </w:r>
      <w:r>
        <w:rPr>
          <w:rFonts w:ascii="Century Gothic" w:hAnsi="Century Gothic" w:eastAsia="Century Gothic" w:cs="Century Gothic"/>
          <w:b/>
          <w:bCs/>
          <w:color w:val="303232"/>
          <w:sz w:val="18"/>
          <w:szCs w:val="18"/>
          <w:lang w:val="it-IT"/>
        </w:rPr>
        <w:t xml:space="preserve">validità</w:t>
      </w:r>
      <w:r>
        <w:rPr>
          <w:rFonts w:ascii="Century Gothic" w:hAnsi="Century Gothic" w:eastAsia="Century Gothic" w:cs="Century Gothic"/>
          <w:color w:val="303232"/>
          <w:sz w:val="18"/>
          <w:szCs w:val="18"/>
          <w:lang w:val="it-IT"/>
        </w:rPr>
        <w:t xml:space="preserve">: di quanti giorni interi si può ritardare l'ingresso prima che una condizione lo legga diversamente. Il rappresentante di una classe è scelto con questo ordine: validità almeno pari al minimo impostato (un giorno di default); wait sul campo che termina il prima possibile, così il test dura meno; valore non coincidente con un punto di taglio; validità più lunga; a parità di tutto, la data che viene prima. Un valore vuoto rappresenta una classe solo se nessun altro valore la rappresenta.</w:t>
      </w:r>
    </w:p>
    <w:p>
      <w:pPr>
        <w:keepNext/>
        <w:keepLines/>
        <w:spacing w:before="280" w:after="100" w:line="264" w:lineRule="auto"/>
        <w:jc w:val="left"/>
        <w:outlineLvl w:val="1"/>
      </w:pPr>
      <w:bookmarkStart w:id="30" w:name="_Toc100030"/>
      <w:r>
        <w:rPr>
          <w:rFonts w:ascii="Century Gothic" w:hAnsi="Century Gothic" w:eastAsia="Century Gothic" w:cs="Century Gothic"/>
          <w:b/>
          <w:bCs/>
          <w:color w:val="303232"/>
          <w:sz w:val="22"/>
          <w:szCs w:val="22"/>
          <w:lang w:val="it-IT"/>
        </w:rPr>
        <w:t xml:space="preserve">6.4  Classi di contatti</w:t>
      </w:r>
      <w:bookmarkEnd w:id="30"/>
    </w:p>
    <w:p>
      <w:pPr>
        <w:spacing w:before="0" w:after="160" w:line="288" w:lineRule="auto"/>
        <w:jc w:val="both"/>
      </w:pPr>
      <w:r>
        <w:rPr>
          <w:rFonts w:ascii="Century Gothic" w:hAnsi="Century Gothic" w:eastAsia="Century Gothic" w:cs="Century Gothic"/>
          <w:color w:val="303232"/>
          <w:sz w:val="18"/>
          <w:szCs w:val="18"/>
          <w:lang w:val="it-IT"/>
        </w:rPr>
        <w:t xml:space="preserve">I campi a livello di contatto possono combinarsi in un numero enorme di modi: nei journey di retention validati arrivano a 435 milioni di combinazioni. Molte combinazioni sono però equivalenti, perché rendono vere e false le stesse condizioni. Lo strumento raggruppa i campi in componenti indipendenti (due campi stanno nella stessa componente se una condizione li legge entrambi), enumera ogni componente separatamente e combina i risultati. Il prodotto è un insieme di </w:t>
      </w:r>
      <w:r>
        <w:rPr>
          <w:rFonts w:ascii="Century Gothic" w:hAnsi="Century Gothic" w:eastAsia="Century Gothic" w:cs="Century Gothic"/>
          <w:b/>
          <w:bCs/>
          <w:color w:val="303232"/>
          <w:sz w:val="18"/>
          <w:szCs w:val="18"/>
          <w:lang w:val="it-IT"/>
        </w:rPr>
        <w:t xml:space="preserve">classi di contatti</w:t>
      </w:r>
      <w:r>
        <w:rPr>
          <w:rFonts w:ascii="Century Gothic" w:hAnsi="Century Gothic" w:eastAsia="Century Gothic" w:cs="Century Gothic"/>
          <w:color w:val="303232"/>
          <w:sz w:val="18"/>
          <w:szCs w:val="18"/>
          <w:lang w:val="it-IT"/>
        </w:rPr>
        <w:t xml:space="preserve">, ciascuna con un rappresentante: nel journey di riferimento le classi sono 8.</w:t>
      </w:r>
    </w:p>
    <w:p>
      <w:pPr>
        <w:keepNext/>
        <w:keepLines/>
        <w:spacing w:before="280" w:after="100" w:line="264" w:lineRule="auto"/>
        <w:jc w:val="left"/>
        <w:outlineLvl w:val="1"/>
      </w:pPr>
      <w:bookmarkStart w:id="31" w:name="_Toc100031"/>
      <w:r>
        <w:rPr>
          <w:rFonts w:ascii="Century Gothic" w:hAnsi="Century Gothic" w:eastAsia="Century Gothic" w:cs="Century Gothic"/>
          <w:b/>
          <w:bCs/>
          <w:color w:val="303232"/>
          <w:sz w:val="22"/>
          <w:szCs w:val="22"/>
          <w:lang w:val="it-IT"/>
        </w:rPr>
        <w:t xml:space="preserve">6.5  Esplorazione simbolica</w:t>
      </w:r>
      <w:bookmarkEnd w:id="31"/>
    </w:p>
    <w:p>
      <w:pPr>
        <w:spacing w:before="0" w:after="160" w:line="288" w:lineRule="auto"/>
        <w:jc w:val="both"/>
      </w:pPr>
      <w:r>
        <w:rPr>
          <w:rFonts w:ascii="Century Gothic" w:hAnsi="Century Gothic" w:eastAsia="Century Gothic" w:cs="Century Gothic"/>
          <w:color w:val="303232"/>
          <w:sz w:val="18"/>
          <w:szCs w:val="18"/>
          <w:lang w:val="it-IT"/>
        </w:rPr>
        <w:t xml:space="preserve">Per ogni classe di contatti il simulatore percorre il journey dall'inizio. Quando incontra uno split che legge un valore a livello di scenario non ancora deciso, si dirama su tutti i valori del dominio; quando incontra un engagement split o un random split, segue entrambi gli esiti. Lungo il percorso tiene traccia di email e SMS inviati, scritture degli update contact, wait attraversati, orologio. Ogni percorso completo è una foglia dell'esplorazione e registra i branch che attraversa.</w:t>
      </w:r>
    </w:p>
    <w:p>
      <w:pPr>
        <w:keepNext/>
        <w:keepLines/>
        <w:spacing w:before="280" w:after="100" w:line="264" w:lineRule="auto"/>
        <w:jc w:val="left"/>
        <w:outlineLvl w:val="1"/>
      </w:pPr>
      <w:bookmarkStart w:id="32" w:name="_Toc100032"/>
      <w:r>
        <w:rPr>
          <w:rFonts w:ascii="Century Gothic" w:hAnsi="Century Gothic" w:eastAsia="Century Gothic" w:cs="Century Gothic"/>
          <w:b/>
          <w:bCs/>
          <w:color w:val="303232"/>
          <w:sz w:val="22"/>
          <w:szCs w:val="22"/>
          <w:lang w:val="it-IT"/>
        </w:rPr>
        <w:t xml:space="preserve">6.6  Scelta della copertura</w:t>
      </w:r>
      <w:bookmarkEnd w:id="32"/>
    </w:p>
    <w:p>
      <w:pPr>
        <w:spacing w:before="0" w:after="160" w:line="288" w:lineRule="auto"/>
        <w:jc w:val="both"/>
      </w:pPr>
      <w:r>
        <w:rPr>
          <w:rFonts w:ascii="Century Gothic" w:hAnsi="Century Gothic" w:eastAsia="Century Gothic" w:cs="Century Gothic"/>
          <w:color w:val="303232"/>
          <w:sz w:val="18"/>
          <w:szCs w:val="18"/>
          <w:lang w:val="it-IT"/>
        </w:rPr>
        <w:t xml:space="preserve">Ogni combinazione di valori a livello di scenario produce un insieme di foglie, una o più per classe di contatti. Un algoritmo di set cover greedy, con seme fisso per garantire la riproducibilità, sceglie prima gli scenari che coprono tutti i branch raggiungibili e poi, dentro ciascuno scenario, i casi, prendendo a ogni passo quello che aggiunge più branch ancora scoperti. Una foglia con valori di validità inferiore al minimo viene usata solo per i branch che nessuna foglia più robusta raggiunge.</w:t>
      </w:r>
    </w:p>
    <w:p>
      <w:pPr>
        <w:keepNext/>
        <w:keepLines/>
        <w:spacing w:before="280" w:after="100" w:line="264" w:lineRule="auto"/>
        <w:jc w:val="left"/>
        <w:outlineLvl w:val="1"/>
      </w:pPr>
      <w:bookmarkStart w:id="33" w:name="_Toc100033"/>
      <w:r>
        <w:rPr>
          <w:rFonts w:ascii="Century Gothic" w:hAnsi="Century Gothic" w:eastAsia="Century Gothic" w:cs="Century Gothic"/>
          <w:b/>
          <w:bCs/>
          <w:color w:val="303232"/>
          <w:sz w:val="22"/>
          <w:szCs w:val="22"/>
          <w:lang w:val="it-IT"/>
        </w:rPr>
        <w:t xml:space="preserve">6.7  Scenari, casi e contatti</w:t>
      </w:r>
      <w:bookmarkEnd w:id="33"/>
    </w:p>
    <w:p>
      <w:pPr>
        <w:keepNext/>
        <w:spacing w:before="120" w:after="80" w:line="288" w:lineRule="auto"/>
        <w:jc w:val="left"/>
      </w:pPr>
      <w:r>
        <w:rPr>
          <w:rFonts w:ascii="Century Gothic" w:hAnsi="Century Gothic" w:eastAsia="Century Gothic" w:cs="Century Gothic"/>
          <w:i/>
          <w:iCs/>
          <w:color w:val="7F7F7F"/>
          <w:sz w:val="15"/>
          <w:szCs w:val="15"/>
          <w:lang w:val="it-IT"/>
        </w:rPr>
        <w:t xml:space="preserve">Tabella 6. Le unità con cui sono organizzati i dati di test.</w:t>
      </w:r>
    </w:p>
    <w:tbl>
      <w:tblPr>
        <w:tblW w:w="9638" w:type="dxa"/>
        <w:jc w:val="left"/>
        <w:tblBorders>
          <w:top w:val="single" w:sz="6" w:space="0" w:color="BE0036"/>
          <w:left w:val="nil"/>
          <w:bottom w:val="single" w:sz="6" w:space="0" w:color="BFBFBF"/>
          <w:right w:val="nil"/>
          <w:insideH w:val="single" w:sz="4" w:space="0" w:color="D9D9D9"/>
          <w:insideV w:val="nil"/>
        </w:tblBorders>
        <w:tblLayout w:type="fixed"/>
        <w:tblCellMar>
          <w:top w:w="70" w:type="dxa"/>
          <w:left w:w="100" w:type="dxa"/>
          <w:bottom w:w="70" w:type="dxa"/>
          <w:right w:w="100" w:type="dxa"/>
        </w:tblCellMar>
        <w:tblLook w:val="04A0" w:firstRow="1" w:lastRow="0" w:firstColumn="0" w:lastColumn="0" w:noHBand="0" w:noVBand="1"/>
      </w:tblPr>
      <w:tblGrid>
        <w:gridCol w:w="2000"/>
        <w:gridCol w:w="7638"/>
      </w:tblGrid>
      <w:tr>
        <w:trPr>
          <w:cantSplit/>
          <w:tblHeader/>
        </w:trPr>
        <w:tc>
          <w:tcPr>
            <w:tcW w:w="20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Termine</w:t>
            </w:r>
          </w:p>
        </w:tc>
        <w:tc>
          <w:tcPr>
            <w:tcW w:w="7638"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Significato</w:t>
            </w:r>
          </w:p>
        </w:tc>
      </w:tr>
      <w:tr>
        <w:trPr>
          <w:cantSplit/>
        </w:trPr>
        <w:tc>
          <w:tcPr>
            <w:tcW w:w="20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Scenario</w:t>
            </w:r>
          </w:p>
        </w:tc>
        <w:tc>
          <w:tcPr>
            <w:tcW w:w="76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Una combinazione di valori a livello di scenario, per esempio una riga della configurazione di campagna. Tutti i suoi contatti la condividono.</w:t>
            </w:r>
          </w:p>
        </w:tc>
      </w:tr>
      <w:tr>
        <w:trPr>
          <w:cantSplit/>
        </w:trPr>
        <w:tc>
          <w:tcPr>
            <w:tcW w:w="20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Caso</w:t>
            </w:r>
          </w:p>
        </w:tc>
        <w:tc>
          <w:tcPr>
            <w:tcW w:w="76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Un gruppo di contatti con gli stessi valori di contatto e le stesse azioni manuali, che quindi seguono lo stesso percorso. Ogni caso è un test del testbook e ha 3 contatti di default.</w:t>
            </w:r>
          </w:p>
        </w:tc>
      </w:tr>
      <w:tr>
        <w:trPr>
          <w:cantSplit/>
        </w:trPr>
        <w:tc>
          <w:tcPr>
            <w:tcW w:w="20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Caso statistico</w:t>
            </w:r>
          </w:p>
        </w:tc>
        <w:tc>
          <w:tcPr>
            <w:tcW w:w="76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Il caso che copre i branch successivi a un random split. Il suo esito non si può forzare: ha 50 contatti di default e un intervallo atteso per il lato minoritario.</w:t>
            </w:r>
          </w:p>
        </w:tc>
      </w:tr>
    </w:tbl>
    <w:p>
      <w:pPr>
        <w:spacing w:before="0" w:after="160" w:line="120" w:lineRule="exact"/>
        <w:jc w:val="both"/>
      </w:pPr>
    </w:p>
    <w:p>
      <w:pPr>
        <w:spacing w:before="0" w:after="160" w:line="288" w:lineRule="auto"/>
        <w:jc w:val="both"/>
      </w:pPr>
      <w:r>
        <w:rPr>
          <w:rFonts w:ascii="Century Gothic" w:hAnsi="Century Gothic" w:eastAsia="Century Gothic" w:cs="Century Gothic"/>
          <w:color w:val="303232"/>
          <w:sz w:val="18"/>
          <w:szCs w:val="18"/>
          <w:lang w:val="it-IT"/>
        </w:rPr>
        <w:t xml:space="preserve">Gli scenari che richiedono un'azione manuale vengono eseguiti per primi, perché le loro scadenze dipendono dall'ora di generazione. Quando la entry query filtra su un campo di attivazione dello scenario, i CSV partono con il solo primo scenario attivo e il tester attiva gli altri uno alla volta.</w:t>
      </w:r>
    </w:p>
    <w:p>
      <w:pPr>
        <w:keepNext/>
        <w:keepLines/>
        <w:spacing w:before="280" w:after="100" w:line="264" w:lineRule="auto"/>
        <w:jc w:val="left"/>
        <w:outlineLvl w:val="1"/>
      </w:pPr>
      <w:bookmarkStart w:id="34" w:name="_Toc100034"/>
      <w:r>
        <w:rPr>
          <w:rFonts w:ascii="Century Gothic" w:hAnsi="Century Gothic" w:eastAsia="Century Gothic" w:cs="Century Gothic"/>
          <w:b/>
          <w:bCs/>
          <w:color w:val="303232"/>
          <w:sz w:val="22"/>
          <w:szCs w:val="22"/>
          <w:lang w:val="it-IT"/>
        </w:rPr>
        <w:t xml:space="preserve">6.8  Le attività con trattamento particolare</w:t>
      </w:r>
      <w:bookmarkEnd w:id="34"/>
    </w:p>
    <w:p>
      <w:pPr>
        <w:keepNext/>
        <w:spacing w:before="120" w:after="80" w:line="288" w:lineRule="auto"/>
        <w:jc w:val="left"/>
      </w:pPr>
      <w:r>
        <w:rPr>
          <w:rFonts w:ascii="Century Gothic" w:hAnsi="Century Gothic" w:eastAsia="Century Gothic" w:cs="Century Gothic"/>
          <w:i/>
          <w:iCs/>
          <w:color w:val="7F7F7F"/>
          <w:sz w:val="15"/>
          <w:szCs w:val="15"/>
          <w:lang w:val="it-IT"/>
        </w:rPr>
        <w:t xml:space="preserve">Tabella 7. Come vengono trattate le attività che non sono semplici decision split.</w:t>
      </w:r>
    </w:p>
    <w:tbl>
      <w:tblPr>
        <w:tblW w:w="9638" w:type="dxa"/>
        <w:jc w:val="left"/>
        <w:tblBorders>
          <w:top w:val="single" w:sz="6" w:space="0" w:color="BE0036"/>
          <w:left w:val="nil"/>
          <w:bottom w:val="single" w:sz="6" w:space="0" w:color="BFBFBF"/>
          <w:right w:val="nil"/>
          <w:insideH w:val="single" w:sz="4" w:space="0" w:color="D9D9D9"/>
          <w:insideV w:val="nil"/>
        </w:tblBorders>
        <w:tblLayout w:type="fixed"/>
        <w:tblCellMar>
          <w:top w:w="70" w:type="dxa"/>
          <w:left w:w="100" w:type="dxa"/>
          <w:bottom w:w="70" w:type="dxa"/>
          <w:right w:w="100" w:type="dxa"/>
        </w:tblCellMar>
        <w:tblLook w:val="04A0" w:firstRow="1" w:lastRow="0" w:firstColumn="0" w:lastColumn="0" w:noHBand="0" w:noVBand="1"/>
      </w:tblPr>
      <w:tblGrid>
        <w:gridCol w:w="2300"/>
        <w:gridCol w:w="7338"/>
      </w:tblGrid>
      <w:tr>
        <w:trPr>
          <w:cantSplit/>
          <w:tblHeader/>
        </w:trPr>
        <w:tc>
          <w:tcPr>
            <w:tcW w:w="23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Attività</w:t>
            </w:r>
          </w:p>
        </w:tc>
        <w:tc>
          <w:tcPr>
            <w:tcW w:w="7338"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Trattamento</w:t>
            </w:r>
          </w:p>
        </w:tc>
      </w:tr>
      <w:tr>
        <w:trPr>
          <w:cantSplit/>
        </w:trPr>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Engagement split</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Entrambi i branch ricevono contatti. Il branch Yes richiede un'azione manuale (apertura o click) su un'inbox reale ed è raggiungibile solo se il percorso ha inviato prima l'email di riferimento. Un click richiede che l'email contenga un link.</w:t>
            </w:r>
          </w:p>
        </w:tc>
      </w:tr>
      <w:tr>
        <w:trPr>
          <w:cantSplit/>
        </w:trPr>
        <w:tc>
          <w:tcPr>
            <w:tcW w:w="2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Random split</w:t>
            </w:r>
          </w:p>
        </w:tc>
        <w:tc>
          <w:tcPr>
            <w:tcW w:w="7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Non si può forzare. La copertura preferisce i percorsi che lo evitano; i branch raggiungibili solo attraverso di esso ricevono un caso statistico.</w:t>
            </w:r>
          </w:p>
        </w:tc>
      </w:tr>
      <w:tr>
        <w:trPr>
          <w:cantSplit/>
        </w:trPr>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Wait by duration, send-time wait</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Nessuna diramazione. L'orologio avanza della durata del wait; un send-time wait conta zero. Il testbook riporta l'attesa.</w:t>
            </w:r>
          </w:p>
        </w:tc>
      </w:tr>
      <w:tr>
        <w:trPr>
          <w:cantSplit/>
        </w:trPr>
        <w:tc>
          <w:tcPr>
            <w:tcW w:w="2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Wait by attribute</w:t>
            </w:r>
          </w:p>
        </w:tc>
        <w:tc>
          <w:tcPr>
            <w:tcW w:w="7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L'orologio avanza fino alla data del campo più l'offset, all'ora indicata dal wait o, se il wait non ne indica una, all'ora contenuta nel campo. Una data già passata o vuota lascia proseguire subito.</w:t>
            </w:r>
          </w:p>
        </w:tc>
      </w:tr>
      <w:tr>
        <w:trPr>
          <w:cantSplit/>
        </w:trPr>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Update contact</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 valori scritti vengono tracciati: uno split successivo che legge lo stesso campo come Contact Data vede il valore aggiornato.</w:t>
            </w:r>
          </w:p>
        </w:tc>
      </w:tr>
      <w:tr>
        <w:trPr>
          <w:cantSplit/>
        </w:trPr>
        <w:tc>
          <w:tcPr>
            <w:tcW w:w="2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Email e SMS</w:t>
            </w:r>
          </w:p>
        </w:tc>
        <w:tc>
          <w:tcPr>
            <w:tcW w:w="7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Registrati con l'ora dell'orologio. Un SMS viene inviato al numero mobile predefinito del journey.</w:t>
            </w:r>
          </w:p>
        </w:tc>
      </w:tr>
      <w:tr>
        <w:trPr>
          <w:cantSplit/>
        </w:trPr>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Criteri di uscita</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Valutati alla fine di ogni wait: un contatto che li soddisfa esce dal journey in quel punto. Ogni criterio è anche un obiettivo di copertura.</w:t>
            </w:r>
          </w:p>
        </w:tc>
      </w:tr>
    </w:tbl>
    <w:p>
      <w:pPr>
        <w:spacing w:before="0" w:after="160" w:line="120" w:lineRule="exact"/>
        <w:jc w:val="both"/>
      </w:pPr>
    </w:p>
    <w:p>
      <w:pPr>
        <w:keepNext/>
        <w:keepLines/>
        <w:spacing w:before="280" w:after="100" w:line="264" w:lineRule="auto"/>
        <w:jc w:val="left"/>
        <w:outlineLvl w:val="1"/>
      </w:pPr>
      <w:bookmarkStart w:id="35" w:name="_Toc100035"/>
      <w:r>
        <w:rPr>
          <w:rFonts w:ascii="Century Gothic" w:hAnsi="Century Gothic" w:eastAsia="Century Gothic" w:cs="Century Gothic"/>
          <w:b/>
          <w:bCs/>
          <w:color w:val="303232"/>
          <w:sz w:val="22"/>
          <w:szCs w:val="22"/>
          <w:lang w:val="it-IT"/>
        </w:rPr>
        <w:t xml:space="preserve">6.9  Lo stato di ogni branch</w:t>
      </w:r>
      <w:bookmarkEnd w:id="35"/>
    </w:p>
    <w:p>
      <w:pPr>
        <w:spacing w:before="0" w:after="160" w:line="288" w:lineRule="auto"/>
        <w:jc w:val="both"/>
      </w:pPr>
      <w:r>
        <w:rPr>
          <w:rFonts w:ascii="Century Gothic" w:hAnsi="Century Gothic" w:eastAsia="Century Gothic" w:cs="Century Gothic"/>
          <w:color w:val="303232"/>
          <w:sz w:val="18"/>
          <w:szCs w:val="18"/>
          <w:lang w:val="it-IT"/>
        </w:rPr>
        <w:t xml:space="preserve">Al termine ogni branch ha uno di tre stati: </w:t>
      </w:r>
      <w:r>
        <w:rPr>
          <w:rFonts w:ascii="Century Gothic" w:hAnsi="Century Gothic" w:eastAsia="Century Gothic" w:cs="Century Gothic"/>
          <w:b/>
          <w:bCs/>
          <w:color w:val="303232"/>
          <w:sz w:val="18"/>
          <w:szCs w:val="18"/>
          <w:lang w:val="it-IT"/>
        </w:rPr>
        <w:t xml:space="preserve">coperto</w:t>
      </w:r>
      <w:r>
        <w:rPr>
          <w:rFonts w:ascii="Century Gothic" w:hAnsi="Century Gothic" w:eastAsia="Century Gothic" w:cs="Century Gothic"/>
          <w:color w:val="303232"/>
          <w:sz w:val="18"/>
          <w:szCs w:val="18"/>
          <w:lang w:val="it-IT"/>
        </w:rPr>
        <w:t xml:space="preserve">, </w:t>
      </w:r>
      <w:r>
        <w:rPr>
          <w:rFonts w:ascii="Century Gothic" w:hAnsi="Century Gothic" w:eastAsia="Century Gothic" w:cs="Century Gothic"/>
          <w:b/>
          <w:bCs/>
          <w:color w:val="303232"/>
          <w:sz w:val="18"/>
          <w:szCs w:val="18"/>
          <w:lang w:val="it-IT"/>
        </w:rPr>
        <w:t xml:space="preserve">coperto con azione manuale</w:t>
      </w:r>
      <w:r>
        <w:rPr>
          <w:rFonts w:ascii="Century Gothic" w:hAnsi="Century Gothic" w:eastAsia="Century Gothic" w:cs="Century Gothic"/>
          <w:color w:val="303232"/>
          <w:sz w:val="18"/>
          <w:szCs w:val="18"/>
          <w:lang w:val="it-IT"/>
        </w:rPr>
        <w:t xml:space="preserve"> o </w:t>
      </w:r>
      <w:r>
        <w:rPr>
          <w:rFonts w:ascii="Century Gothic" w:hAnsi="Century Gothic" w:eastAsia="Century Gothic" w:cs="Century Gothic"/>
          <w:b/>
          <w:bCs/>
          <w:color w:val="303232"/>
          <w:sz w:val="18"/>
          <w:szCs w:val="18"/>
          <w:lang w:val="it-IT"/>
        </w:rPr>
        <w:t xml:space="preserve">non coperto</w:t>
      </w:r>
      <w:r>
        <w:rPr>
          <w:rFonts w:ascii="Century Gothic" w:hAnsi="Century Gothic" w:eastAsia="Century Gothic" w:cs="Century Gothic"/>
          <w:color w:val="303232"/>
          <w:sz w:val="18"/>
          <w:szCs w:val="18"/>
          <w:lang w:val="it-IT"/>
        </w:rPr>
        <w:t xml:space="preserve">. Un branch non coperto ha sempre un motivo, che rientra in poche categorie: non raggiungibile per una contraddizione con le condizioni precedenti, per un valore fissato dalla entry query, per un'email non inviata sul percorso o perché i contatti che lo raggiungerebbero escono prima per i criteri di uscita; a valle di un elemento non supportato; privo dell'inbox reale o del link necessario. Il report raggruppa i branch non coperti per causa a monte: spesso un solo branch irraggiungibile ne spiega decine.</w:t>
      </w:r>
    </w:p>
    <w:tbl>
      <w:tblPr>
        <w:tblW w:w="9638" w:type="dxa"/>
        <w:tblBorders>
          <w:top w:val="nil"/>
          <w:left w:val="single" w:sz="24" w:space="0" w:color="BE0036"/>
          <w:bottom w:val="nil"/>
          <w:right w:val="nil"/>
          <w:insideH w:val="nil"/>
          <w:insideV w:val="nil"/>
        </w:tblBorders>
        <w:tblLayout w:type="fixed"/>
        <w:tblCellMar>
          <w:top w:w="140" w:type="dxa"/>
          <w:left w:w="220" w:type="dxa"/>
          <w:bottom w:w="140" w:type="dxa"/>
          <w:right w:w="220" w:type="dxa"/>
        </w:tblCellMar>
      </w:tblPr>
      <w:tblGrid>
        <w:gridCol w:w="9638"/>
      </w:tblGrid>
      <w:tr>
        <w:trPr>
          <w:cantSplit/>
        </w:trPr>
        <w:tc>
          <w:tcPr>
            <w:tcW w:w="9638" w:type="dxa"/>
            <w:shd w:val="clear" w:color="auto" w:fill="F6F6F6"/>
          </w:tcPr>
          <w:p>
            <w:pPr>
              <w:spacing w:before="0" w:after="80" w:line="288" w:lineRule="auto"/>
              <w:jc w:val="left"/>
            </w:pPr>
            <w:r>
              <w:rPr>
                <w:rFonts w:ascii="Century Gothic" w:hAnsi="Century Gothic" w:eastAsia="Century Gothic" w:cs="Century Gothic"/>
                <w:b/>
                <w:bCs/>
                <w:color w:val="BE0036"/>
                <w:sz w:val="18"/>
                <w:szCs w:val="18"/>
                <w:lang w:val="it-IT"/>
              </w:rPr>
              <w:t xml:space="preserve">Il journey di riferimento in cifre</w:t>
            </w:r>
          </w:p>
          <w:p>
            <w:pPr>
              <w:spacing w:before="0" w:after="0" w:line="288" w:lineRule="auto"/>
              <w:jc w:val="both"/>
            </w:pPr>
            <w:r>
              <w:rPr>
                <w:rFonts w:ascii="Century Gothic" w:hAnsi="Century Gothic" w:eastAsia="Century Gothic" w:cs="Century Gothic"/>
                <w:color w:val="303232"/>
                <w:sz w:val="17"/>
                <w:szCs w:val="17"/>
                <w:lang w:val="it-IT"/>
              </w:rPr>
              <w:t xml:space="preserve">178 attività, di cui 106 decision split, 6 engagement split e un random split 90/10, per un totale di 259 branch. Circa 775.000 percorsi strutturali; 8 classi di contatti. Lo strumento produce 23 scenari e 33 casi per un totale di 146 contatti, compreso un caso statistico di 50 contatti per il random split. Dei 259 branch, 122 sono coperti (2 con azione manuale) e 137 risultano non raggiungibili, quasi tutti per una contraddizione tra condizioni che scrivono lo stesso valore con maiuscole diverse («Email» ed «EMAIL»).</w:t>
            </w:r>
          </w:p>
        </w:tc>
      </w:tr>
    </w:tbl>
    <w:p>
      <w:pPr>
        <w:spacing w:before="0" w:after="120" w:line="288" w:lineRule="auto"/>
        <w:jc w:val="both"/>
      </w:pPr>
    </w:p>
    <w:p>
      <w:pPr>
        <w:keepNext/>
        <w:keepLines/>
        <w:spacing w:before="600" w:after="200" w:line="264" w:lineRule="auto"/>
        <w:jc w:val="left"/>
        <w:outlineLvl w:val="0"/>
      </w:pPr>
      <w:bookmarkStart w:id="36" w:name="_Toc100036"/>
      <w:r>
        <w:rPr>
          <w:rFonts w:ascii="Century Gothic" w:hAnsi="Century Gothic" w:eastAsia="Century Gothic" w:cs="Century Gothic"/>
          <w:b/>
          <w:bCs/>
          <w:color w:val="BE0036"/>
          <w:sz w:val="30"/>
          <w:szCs w:val="30"/>
          <w:lang w:val="it-IT"/>
        </w:rPr>
        <w:t xml:space="preserve">7  Regole di generazione dei dati fittizi</w:t>
      </w:r>
      <w:bookmarkEnd w:id="36"/>
    </w:p>
    <w:p>
      <w:pPr>
        <w:keepNext/>
        <w:keepLines/>
        <w:spacing w:before="280" w:after="100" w:line="264" w:lineRule="auto"/>
        <w:jc w:val="left"/>
        <w:outlineLvl w:val="1"/>
      </w:pPr>
      <w:bookmarkStart w:id="37" w:name="_Toc100037"/>
      <w:r>
        <w:rPr>
          <w:rFonts w:ascii="Century Gothic" w:hAnsi="Century Gothic" w:eastAsia="Century Gothic" w:cs="Century Gothic"/>
          <w:b/>
          <w:bCs/>
          <w:color w:val="303232"/>
          <w:sz w:val="22"/>
          <w:szCs w:val="22"/>
          <w:lang w:val="it-IT"/>
        </w:rPr>
        <w:t xml:space="preserve">7.1  Priorità delle regole</w:t>
      </w:r>
      <w:bookmarkEnd w:id="37"/>
    </w:p>
    <w:p>
      <w:pPr>
        <w:spacing w:before="0" w:after="160" w:line="288" w:lineRule="auto"/>
        <w:jc w:val="both"/>
      </w:pPr>
      <w:r>
        <w:rPr>
          <w:rFonts w:ascii="Century Gothic" w:hAnsi="Century Gothic" w:eastAsia="Century Gothic" w:cs="Century Gothic"/>
          <w:color w:val="303232"/>
          <w:sz w:val="18"/>
          <w:szCs w:val="18"/>
          <w:lang w:val="it-IT"/>
        </w:rPr>
        <w:t xml:space="preserve">Ogni valore di ogni CSV viene dalla prima regola applicabile, nell'ordine seguente.</w:t>
      </w:r>
    </w:p>
    <w:p>
      <w:pPr>
        <w:keepNext/>
        <w:spacing w:before="120" w:after="80" w:line="288" w:lineRule="auto"/>
        <w:jc w:val="left"/>
      </w:pPr>
      <w:r>
        <w:rPr>
          <w:rFonts w:ascii="Century Gothic" w:hAnsi="Century Gothic" w:eastAsia="Century Gothic" w:cs="Century Gothic"/>
          <w:i/>
          <w:iCs/>
          <w:color w:val="7F7F7F"/>
          <w:sz w:val="15"/>
          <w:szCs w:val="15"/>
          <w:lang w:val="it-IT"/>
        </w:rPr>
        <w:t xml:space="preserve">Tabella 8. L'ordine di priorità delle regole di generazione.</w:t>
      </w:r>
    </w:p>
    <w:tbl>
      <w:tblPr>
        <w:tblW w:w="9638" w:type="dxa"/>
        <w:jc w:val="left"/>
        <w:tblBorders>
          <w:top w:val="single" w:sz="6" w:space="0" w:color="BE0036"/>
          <w:left w:val="nil"/>
          <w:bottom w:val="single" w:sz="6" w:space="0" w:color="BFBFBF"/>
          <w:right w:val="nil"/>
          <w:insideH w:val="single" w:sz="4" w:space="0" w:color="D9D9D9"/>
          <w:insideV w:val="nil"/>
        </w:tblBorders>
        <w:tblLayout w:type="fixed"/>
        <w:tblCellMar>
          <w:top w:w="70" w:type="dxa"/>
          <w:left w:w="100" w:type="dxa"/>
          <w:bottom w:w="70" w:type="dxa"/>
          <w:right w:w="100" w:type="dxa"/>
        </w:tblCellMar>
        <w:tblLook w:val="04A0" w:firstRow="1" w:lastRow="0" w:firstColumn="0" w:lastColumn="0" w:noHBand="0" w:noVBand="1"/>
      </w:tblPr>
      <w:tblGrid>
        <w:gridCol w:w="700"/>
        <w:gridCol w:w="2700"/>
        <w:gridCol w:w="6238"/>
      </w:tblGrid>
      <w:tr>
        <w:trPr>
          <w:cantSplit/>
          <w:tblHeader/>
        </w:trPr>
        <w:tc>
          <w:tcPr>
            <w:tcW w:w="7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w:t>
            </w:r>
          </w:p>
        </w:tc>
        <w:tc>
          <w:tcPr>
            <w:tcW w:w="27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Tipo di campo</w:t>
            </w:r>
          </w:p>
        </w:tc>
        <w:tc>
          <w:tcPr>
            <w:tcW w:w="6238"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Valore</w:t>
            </w:r>
          </w:p>
        </w:tc>
      </w:tr>
      <w:tr>
        <w:trPr>
          <w:cantSplit/>
        </w:trPr>
        <w:tc>
          <w:tcPr>
            <w:tcW w:w="7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1</w:t>
            </w:r>
          </w:p>
        </w:tc>
        <w:tc>
          <w:tcPr>
            <w:tcW w:w="27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Chiave o campo di join</w:t>
            </w:r>
          </w:p>
        </w:tc>
        <w:tc>
          <w:tcPr>
            <w:tcW w:w="62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Chiave generata, identica in tutte le tabelle che si uniscono su quel campo.</w:t>
            </w:r>
          </w:p>
        </w:tc>
      </w:tr>
      <w:tr>
        <w:trPr>
          <w:cantSplit/>
        </w:trPr>
        <w:tc>
          <w:tcPr>
            <w:tcW w:w="7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2</w:t>
            </w:r>
          </w:p>
        </w:tc>
        <w:tc>
          <w:tcPr>
            <w:tcW w:w="27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Campo letto da uno split</w:t>
            </w:r>
          </w:p>
        </w:tc>
        <w:tc>
          <w:tcPr>
            <w:tcW w:w="62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Il valore richiesto dal caso o dallo scenario, scritto esattamente come nella condizione.</w:t>
            </w:r>
          </w:p>
        </w:tc>
      </w:tr>
      <w:tr>
        <w:trPr>
          <w:cantSplit/>
        </w:trPr>
        <w:tc>
          <w:tcPr>
            <w:tcW w:w="7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3</w:t>
            </w:r>
          </w:p>
        </w:tc>
        <w:tc>
          <w:tcPr>
            <w:tcW w:w="27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Campo filtrato dalla entry query</w:t>
            </w:r>
          </w:p>
        </w:tc>
        <w:tc>
          <w:tcPr>
            <w:tcW w:w="62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Un valore che supera il filtro, così il contatto entra davvero nel journey.</w:t>
            </w:r>
          </w:p>
        </w:tc>
      </w:tr>
      <w:tr>
        <w:trPr>
          <w:cantSplit/>
        </w:trPr>
        <w:tc>
          <w:tcPr>
            <w:tcW w:w="7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4</w:t>
            </w:r>
          </w:p>
        </w:tc>
        <w:tc>
          <w:tcPr>
            <w:tcW w:w="27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Email, telefono, data</w:t>
            </w:r>
          </w:p>
        </w:tc>
        <w:tc>
          <w:tcPr>
            <w:tcW w:w="62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Le regole dei paragrafi 7.3 e 7.4.</w:t>
            </w:r>
          </w:p>
        </w:tc>
      </w:tr>
      <w:tr>
        <w:trPr>
          <w:cantSplit/>
        </w:trPr>
        <w:tc>
          <w:tcPr>
            <w:tcW w:w="7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5</w:t>
            </w:r>
          </w:p>
        </w:tc>
        <w:tc>
          <w:tcPr>
            <w:tcW w:w="27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Ogni altro campo</w:t>
            </w:r>
          </w:p>
        </w:tc>
        <w:tc>
          <w:tcPr>
            <w:tcW w:w="62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Un segnaposto per tipo: </w:t>
            </w:r>
            <w:r>
              <w:rPr>
                <w:rFonts w:ascii="Consolas" w:hAnsi="Consolas" w:eastAsia="Consolas" w:cs="Consolas"/>
                <w:color w:val="303232"/>
                <w:sz w:val="15"/>
                <w:szCs w:val="15"/>
                <w:lang w:val="it-IT"/>
              </w:rPr>
              <w:t xml:space="preserve">TST_&lt;campo&gt;_&lt;n&gt;</w:t>
            </w:r>
            <w:r>
              <w:rPr>
                <w:rFonts w:ascii="Century Gothic" w:hAnsi="Century Gothic" w:eastAsia="Century Gothic" w:cs="Century Gothic"/>
                <w:color w:val="303232"/>
                <w:sz w:val="16"/>
                <w:szCs w:val="16"/>
                <w:lang w:val="it-IT"/>
              </w:rPr>
              <w:t xml:space="preserve"> troncato alla lunghezza per il testo, il default o False per i Boolean, l'ora di generazione per le date, un numero progressivo per i numeri.</w:t>
            </w:r>
          </w:p>
        </w:tc>
      </w:tr>
    </w:tbl>
    <w:p>
      <w:pPr>
        <w:spacing w:before="0" w:after="160" w:line="120" w:lineRule="exact"/>
        <w:jc w:val="both"/>
      </w:pPr>
    </w:p>
    <w:p>
      <w:pPr>
        <w:keepNext/>
        <w:keepLines/>
        <w:spacing w:before="280" w:after="100" w:line="264" w:lineRule="auto"/>
        <w:jc w:val="left"/>
        <w:outlineLvl w:val="1"/>
      </w:pPr>
      <w:bookmarkStart w:id="38" w:name="_Toc100038"/>
      <w:r>
        <w:rPr>
          <w:rFonts w:ascii="Century Gothic" w:hAnsi="Century Gothic" w:eastAsia="Century Gothic" w:cs="Century Gothic"/>
          <w:b/>
          <w:bCs/>
          <w:color w:val="303232"/>
          <w:sz w:val="22"/>
          <w:szCs w:val="22"/>
          <w:lang w:val="it-IT"/>
        </w:rPr>
        <w:t xml:space="preserve">7.2  Chiavi e run identifier</w:t>
      </w:r>
      <w:bookmarkEnd w:id="38"/>
    </w:p>
    <w:p>
      <w:pPr>
        <w:spacing w:before="0" w:after="160" w:line="288" w:lineRule="auto"/>
        <w:jc w:val="both"/>
      </w:pPr>
      <w:r>
        <w:rPr>
          <w:rFonts w:ascii="Century Gothic" w:hAnsi="Century Gothic" w:eastAsia="Century Gothic" w:cs="Century Gothic"/>
          <w:color w:val="303232"/>
          <w:sz w:val="18"/>
          <w:szCs w:val="18"/>
          <w:lang w:val="it-IT"/>
        </w:rPr>
        <w:t xml:space="preserve">Le chiavi dei contatti hanno la forma </w:t>
      </w:r>
      <w:r>
        <w:rPr>
          <w:rFonts w:ascii="Consolas" w:hAnsi="Consolas" w:eastAsia="Consolas" w:cs="Consolas"/>
          <w:color w:val="303232"/>
          <w:sz w:val="17"/>
          <w:szCs w:val="17"/>
          <w:lang w:val="it-IT"/>
        </w:rPr>
        <w:t xml:space="preserve">TST_R01_C0001</w:t>
      </w:r>
      <w:r>
        <w:rPr>
          <w:rFonts w:ascii="Century Gothic" w:hAnsi="Century Gothic" w:eastAsia="Century Gothic" w:cs="Century Gothic"/>
          <w:color w:val="303232"/>
          <w:sz w:val="18"/>
          <w:szCs w:val="18"/>
          <w:lang w:val="it-IT"/>
        </w:rPr>
        <w:t xml:space="preserve">, quelle degli scenari </w:t>
      </w:r>
      <w:r>
        <w:rPr>
          <w:rFonts w:ascii="Consolas" w:hAnsi="Consolas" w:eastAsia="Consolas" w:cs="Consolas"/>
          <w:color w:val="303232"/>
          <w:sz w:val="17"/>
          <w:szCs w:val="17"/>
          <w:lang w:val="it-IT"/>
        </w:rPr>
        <w:t xml:space="preserve">TST_R01_S01</w:t>
      </w:r>
      <w:r>
        <w:rPr>
          <w:rFonts w:ascii="Century Gothic" w:hAnsi="Century Gothic" w:eastAsia="Century Gothic" w:cs="Century Gothic"/>
          <w:color w:val="303232"/>
          <w:sz w:val="18"/>
          <w:szCs w:val="18"/>
          <w:lang w:val="it-IT"/>
        </w:rPr>
        <w:t xml:space="preserve">; i gruppi di chiavi che non sono né contatto né scenario ricevono </w:t>
      </w:r>
      <w:r>
        <w:rPr>
          <w:rFonts w:ascii="Consolas" w:hAnsi="Consolas" w:eastAsia="Consolas" w:cs="Consolas"/>
          <w:color w:val="303232"/>
          <w:sz w:val="17"/>
          <w:szCs w:val="17"/>
          <w:lang w:val="it-IT"/>
        </w:rPr>
        <w:t xml:space="preserve">TST_R01_K&lt;n&gt;</w:t>
      </w:r>
      <w:r>
        <w:rPr>
          <w:rFonts w:ascii="Century Gothic" w:hAnsi="Century Gothic" w:eastAsia="Century Gothic" w:cs="Century Gothic"/>
          <w:color w:val="303232"/>
          <w:sz w:val="18"/>
          <w:szCs w:val="18"/>
          <w:lang w:val="it-IT"/>
        </w:rPr>
        <w:t xml:space="preserve">. </w:t>
      </w:r>
      <w:r>
        <w:rPr>
          <w:rFonts w:ascii="Consolas" w:hAnsi="Consolas" w:eastAsia="Consolas" w:cs="Consolas"/>
          <w:color w:val="303232"/>
          <w:sz w:val="17"/>
          <w:szCs w:val="17"/>
          <w:lang w:val="it-IT"/>
        </w:rPr>
        <w:t xml:space="preserve">R01</w:t>
      </w:r>
      <w:r>
        <w:rPr>
          <w:rFonts w:ascii="Century Gothic" w:hAnsi="Century Gothic" w:eastAsia="Century Gothic" w:cs="Century Gothic"/>
          <w:color w:val="303232"/>
          <w:sz w:val="18"/>
          <w:szCs w:val="18"/>
          <w:lang w:val="it-IT"/>
        </w:rPr>
        <w:t xml:space="preserve"> è il </w:t>
      </w:r>
      <w:r>
        <w:rPr>
          <w:rFonts w:ascii="Century Gothic" w:hAnsi="Century Gothic" w:eastAsia="Century Gothic" w:cs="Century Gothic"/>
          <w:b/>
          <w:bCs/>
          <w:color w:val="303232"/>
          <w:sz w:val="18"/>
          <w:szCs w:val="18"/>
          <w:lang w:val="it-IT"/>
        </w:rPr>
        <w:t xml:space="preserve">run identifier</w:t>
      </w:r>
      <w:r>
        <w:rPr>
          <w:rFonts w:ascii="Century Gothic" w:hAnsi="Century Gothic" w:eastAsia="Century Gothic" w:cs="Century Gothic"/>
          <w:color w:val="303232"/>
          <w:sz w:val="18"/>
          <w:szCs w:val="18"/>
          <w:lang w:val="it-IT"/>
        </w:rPr>
        <w:t xml:space="preserve">, impostabile a ogni generazione. Un contatto di test non viene mai riusato, perché le condizioni di Salesforce sono vere se una qualsiasi delle righe collegate le soddisfa: una nuova generazione con un nuovo run identifier evita che le righe di due run si mescolino.</w:t>
      </w:r>
    </w:p>
    <w:p>
      <w:pPr>
        <w:keepNext/>
        <w:keepLines/>
        <w:spacing w:before="280" w:after="100" w:line="264" w:lineRule="auto"/>
        <w:jc w:val="left"/>
        <w:outlineLvl w:val="1"/>
      </w:pPr>
      <w:bookmarkStart w:id="39" w:name="_Toc100039"/>
      <w:r>
        <w:rPr>
          <w:rFonts w:ascii="Century Gothic" w:hAnsi="Century Gothic" w:eastAsia="Century Gothic" w:cs="Century Gothic"/>
          <w:b/>
          <w:bCs/>
          <w:color w:val="303232"/>
          <w:sz w:val="22"/>
          <w:szCs w:val="22"/>
          <w:lang w:val="it-IT"/>
        </w:rPr>
        <w:t xml:space="preserve">7.3  Email e numeri di telefono</w:t>
      </w:r>
      <w:bookmarkEnd w:id="39"/>
    </w:p>
    <w:p>
      <w:pPr>
        <w:spacing w:before="0" w:after="160" w:line="288" w:lineRule="auto"/>
        <w:jc w:val="both"/>
      </w:pPr>
      <w:r>
        <w:rPr>
          <w:rFonts w:ascii="Century Gothic" w:hAnsi="Century Gothic" w:eastAsia="Century Gothic" w:cs="Century Gothic"/>
          <w:color w:val="303232"/>
          <w:sz w:val="18"/>
          <w:szCs w:val="18"/>
          <w:lang w:val="it-IT"/>
        </w:rPr>
        <w:t xml:space="preserve">I contatti che devono aprire o cliccare un'email ricevono l'inbox reale del tester con plus-addressing: con l'inbox </w:t>
      </w:r>
      <w:r>
        <w:rPr>
          <w:rFonts w:ascii="Consolas" w:hAnsi="Consolas" w:eastAsia="Consolas" w:cs="Consolas"/>
          <w:color w:val="303232"/>
          <w:sz w:val="17"/>
          <w:szCs w:val="17"/>
          <w:lang w:val="it-IT"/>
        </w:rPr>
        <w:t xml:space="preserve">nome@dominio.it</w:t>
      </w:r>
      <w:r>
        <w:rPr>
          <w:rFonts w:ascii="Century Gothic" w:hAnsi="Century Gothic" w:eastAsia="Century Gothic" w:cs="Century Gothic"/>
          <w:color w:val="303232"/>
          <w:sz w:val="18"/>
          <w:szCs w:val="18"/>
          <w:lang w:val="it-IT"/>
        </w:rPr>
        <w:t xml:space="preserve">, il contatto </w:t>
      </w:r>
      <w:r>
        <w:rPr>
          <w:rFonts w:ascii="Consolas" w:hAnsi="Consolas" w:eastAsia="Consolas" w:cs="Consolas"/>
          <w:color w:val="303232"/>
          <w:sz w:val="17"/>
          <w:szCs w:val="17"/>
          <w:lang w:val="it-IT"/>
        </w:rPr>
        <w:t xml:space="preserve">TST_R01_C0004</w:t>
      </w:r>
      <w:r>
        <w:rPr>
          <w:rFonts w:ascii="Century Gothic" w:hAnsi="Century Gothic" w:eastAsia="Century Gothic" w:cs="Century Gothic"/>
          <w:color w:val="303232"/>
          <w:sz w:val="18"/>
          <w:szCs w:val="18"/>
          <w:lang w:val="it-IT"/>
        </w:rPr>
        <w:t xml:space="preserve"> riceve </w:t>
      </w:r>
      <w:r>
        <w:rPr>
          <w:rFonts w:ascii="Consolas" w:hAnsi="Consolas" w:eastAsia="Consolas" w:cs="Consolas"/>
          <w:color w:val="303232"/>
          <w:sz w:val="17"/>
          <w:szCs w:val="17"/>
          <w:lang w:val="it-IT"/>
        </w:rPr>
        <w:t xml:space="preserve">nome+TST_R01_C0004@dominio.it</w:t>
      </w:r>
      <w:r>
        <w:rPr>
          <w:rFonts w:ascii="Century Gothic" w:hAnsi="Century Gothic" w:eastAsia="Century Gothic" w:cs="Century Gothic"/>
          <w:color w:val="303232"/>
          <w:sz w:val="18"/>
          <w:szCs w:val="18"/>
          <w:lang w:val="it-IT"/>
        </w:rPr>
        <w:t xml:space="preserve">. Tutti gli altri ricevono un indirizzo non recapitabile, </w:t>
      </w:r>
      <w:r>
        <w:rPr>
          <w:rFonts w:ascii="Consolas" w:hAnsi="Consolas" w:eastAsia="Consolas" w:cs="Consolas"/>
          <w:color w:val="303232"/>
          <w:sz w:val="17"/>
          <w:szCs w:val="17"/>
          <w:lang w:val="it-IT"/>
        </w:rPr>
        <w:t xml:space="preserve">&lt;chiave del contatto&gt;@example.invalid</w:t>
      </w:r>
      <w:r>
        <w:rPr>
          <w:rFonts w:ascii="Century Gothic" w:hAnsi="Century Gothic" w:eastAsia="Century Gothic" w:cs="Century Gothic"/>
          <w:color w:val="303232"/>
          <w:sz w:val="18"/>
          <w:szCs w:val="18"/>
          <w:lang w:val="it-IT"/>
        </w:rPr>
        <w:t xml:space="preserve">, così nessuna email esce verso caselle reali.</w:t>
      </w:r>
    </w:p>
    <w:p>
      <w:pPr>
        <w:spacing w:before="0" w:after="160" w:line="288" w:lineRule="auto"/>
        <w:jc w:val="both"/>
      </w:pPr>
      <w:r>
        <w:rPr>
          <w:rFonts w:ascii="Century Gothic" w:hAnsi="Century Gothic" w:eastAsia="Century Gothic" w:cs="Century Gothic"/>
          <w:color w:val="303232"/>
          <w:sz w:val="18"/>
          <w:szCs w:val="18"/>
          <w:lang w:val="it-IT"/>
        </w:rPr>
        <w:t xml:space="preserve">In ogni caso il cui percorso invia un SMS, uno dei contatti riceve il numero reale del tester nella colonna del numero mobile predefinito del journey e nella colonna sorgente da cui la entry query lo copia; gli altri contatti ricevono un numero fittizio configurabile (</w:t>
      </w:r>
      <w:r>
        <w:rPr>
          <w:rFonts w:ascii="Consolas" w:hAnsi="Consolas" w:eastAsia="Consolas" w:cs="Consolas"/>
          <w:color w:val="303232"/>
          <w:sz w:val="17"/>
          <w:szCs w:val="17"/>
          <w:lang w:val="it-IT"/>
        </w:rPr>
        <w:t xml:space="preserve">333333333333</w:t>
      </w:r>
      <w:r>
        <w:rPr>
          <w:rFonts w:ascii="Century Gothic" w:hAnsi="Century Gothic" w:eastAsia="Century Gothic" w:cs="Century Gothic"/>
          <w:color w:val="303232"/>
          <w:sz w:val="18"/>
          <w:szCs w:val="18"/>
          <w:lang w:val="it-IT"/>
        </w:rPr>
        <w:t xml:space="preserve"> di default).</w:t>
      </w:r>
    </w:p>
    <w:p>
      <w:pPr>
        <w:keepNext/>
        <w:keepLines/>
        <w:spacing w:before="280" w:after="100" w:line="264" w:lineRule="auto"/>
        <w:jc w:val="left"/>
        <w:outlineLvl w:val="1"/>
      </w:pPr>
      <w:bookmarkStart w:id="40" w:name="_Toc100040"/>
      <w:r>
        <w:rPr>
          <w:rFonts w:ascii="Century Gothic" w:hAnsi="Century Gothic" w:eastAsia="Century Gothic" w:cs="Century Gothic"/>
          <w:b/>
          <w:bCs/>
          <w:color w:val="303232"/>
          <w:sz w:val="22"/>
          <w:szCs w:val="22"/>
          <w:lang w:val="it-IT"/>
        </w:rPr>
        <w:t xml:space="preserve">7.4  Date</w:t>
      </w:r>
      <w:bookmarkEnd w:id="40"/>
    </w:p>
    <w:p>
      <w:pPr>
        <w:keepNext/>
        <w:spacing w:before="120" w:after="80" w:line="288" w:lineRule="auto"/>
        <w:jc w:val="left"/>
      </w:pPr>
      <w:r>
        <w:rPr>
          <w:rFonts w:ascii="Century Gothic" w:hAnsi="Century Gothic" w:eastAsia="Century Gothic" w:cs="Century Gothic"/>
          <w:i/>
          <w:iCs/>
          <w:color w:val="7F7F7F"/>
          <w:sz w:val="15"/>
          <w:szCs w:val="15"/>
          <w:lang w:val="it-IT"/>
        </w:rPr>
        <w:t xml:space="preserve">Tabella 9. Le regole per i campi data.</w:t>
      </w:r>
    </w:p>
    <w:tbl>
      <w:tblPr>
        <w:tblW w:w="9638" w:type="dxa"/>
        <w:jc w:val="left"/>
        <w:tblBorders>
          <w:top w:val="single" w:sz="6" w:space="0" w:color="BE0036"/>
          <w:left w:val="nil"/>
          <w:bottom w:val="single" w:sz="6" w:space="0" w:color="BFBFBF"/>
          <w:right w:val="nil"/>
          <w:insideH w:val="single" w:sz="4" w:space="0" w:color="D9D9D9"/>
          <w:insideV w:val="nil"/>
        </w:tblBorders>
        <w:tblLayout w:type="fixed"/>
        <w:tblCellMar>
          <w:top w:w="70" w:type="dxa"/>
          <w:left w:w="100" w:type="dxa"/>
          <w:bottom w:w="70" w:type="dxa"/>
          <w:right w:w="100" w:type="dxa"/>
        </w:tblCellMar>
        <w:tblLook w:val="04A0" w:firstRow="1" w:lastRow="0" w:firstColumn="0" w:lastColumn="0" w:noHBand="0" w:noVBand="1"/>
      </w:tblPr>
      <w:tblGrid>
        <w:gridCol w:w="3000"/>
        <w:gridCol w:w="3200"/>
        <w:gridCol w:w="3438"/>
      </w:tblGrid>
      <w:tr>
        <w:trPr>
          <w:cantSplit/>
          <w:tblHeader/>
        </w:trPr>
        <w:tc>
          <w:tcPr>
            <w:tcW w:w="30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Campo</w:t>
            </w:r>
          </w:p>
        </w:tc>
        <w:tc>
          <w:tcPr>
            <w:tcW w:w="32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Come viene riconosciuto</w:t>
            </w:r>
          </w:p>
        </w:tc>
        <w:tc>
          <w:tcPr>
            <w:tcW w:w="3438"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Valore di default</w:t>
            </w:r>
          </w:p>
        </w:tc>
      </w:tr>
      <w:tr>
        <w:trPr>
          <w:cantSplit/>
        </w:trPr>
        <w:tc>
          <w:tcPr>
            <w:tcW w:w="30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Finestra di validità</w:t>
            </w:r>
          </w:p>
        </w:tc>
        <w:tc>
          <w:tcPr>
            <w:tcW w:w="32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Filtro di intervallo nella entry query</w:t>
            </w:r>
          </w:p>
        </w:tc>
        <w:tc>
          <w:tcPr>
            <w:tcW w:w="34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Inizio ieri, fine fra 7 giorni</w:t>
            </w:r>
          </w:p>
        </w:tc>
      </w:tr>
      <w:tr>
        <w:trPr>
          <w:cantSplit/>
        </w:trPr>
        <w:tc>
          <w:tcPr>
            <w:tcW w:w="30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Data di un wait</w:t>
            </w:r>
          </w:p>
        </w:tc>
        <w:tc>
          <w:tcPr>
            <w:tcW w:w="32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Campo di un wait by attribute, non letto da condizioni</w:t>
            </w:r>
          </w:p>
        </w:tc>
        <w:tc>
          <w:tcPr>
            <w:tcW w:w="34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Ora di generazione: il wait termina subito</w:t>
            </w:r>
          </w:p>
        </w:tc>
      </w:tr>
      <w:tr>
        <w:trPr>
          <w:cantSplit/>
        </w:trPr>
        <w:tc>
          <w:tcPr>
            <w:tcW w:w="30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Data di un wait prima di un engagement split</w:t>
            </w:r>
          </w:p>
        </w:tc>
        <w:tc>
          <w:tcPr>
            <w:tcW w:w="32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Wait by attribute sul percorso verso un'azione manuale</w:t>
            </w:r>
          </w:p>
        </w:tc>
        <w:tc>
          <w:tcPr>
            <w:tcW w:w="34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Ora di generazione più 24 ore, per lasciare il tempo di aprire l'email</w:t>
            </w:r>
          </w:p>
        </w:tc>
      </w:tr>
      <w:tr>
        <w:trPr>
          <w:cantSplit/>
        </w:trPr>
        <w:tc>
          <w:tcPr>
            <w:tcW w:w="30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Data relativa a oggi</w:t>
            </w:r>
          </w:p>
        </w:tc>
        <w:tc>
          <w:tcPr>
            <w:tcW w:w="32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Campo letto da condizioni relative o da un wait con offset</w:t>
            </w:r>
          </w:p>
        </w:tc>
        <w:tc>
          <w:tcPr>
            <w:tcW w:w="34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Il rappresentante scelto come descritto nel paragrafo 6.3</w:t>
            </w:r>
          </w:p>
        </w:tc>
      </w:tr>
      <w:tr>
        <w:trPr>
          <w:cantSplit/>
        </w:trPr>
        <w:tc>
          <w:tcPr>
            <w:tcW w:w="30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Data uguale a oggi più N giorni</w:t>
            </w:r>
          </w:p>
        </w:tc>
        <w:tc>
          <w:tcPr>
            <w:tcW w:w="32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Filtro corrispondente nella entry query</w:t>
            </w:r>
          </w:p>
        </w:tc>
        <w:tc>
          <w:tcPr>
            <w:tcW w:w="34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Ora di generazione spostata di N giorni</w:t>
            </w:r>
          </w:p>
        </w:tc>
      </w:tr>
      <w:tr>
        <w:trPr>
          <w:cantSplit/>
        </w:trPr>
        <w:tc>
          <w:tcPr>
            <w:tcW w:w="30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Altre date</w:t>
            </w:r>
          </w:p>
        </w:tc>
        <w:tc>
          <w:tcPr>
            <w:tcW w:w="32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Nessuno dei casi precedenti</w:t>
            </w:r>
          </w:p>
        </w:tc>
        <w:tc>
          <w:tcPr>
            <w:tcW w:w="34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Ora di generazione</w:t>
            </w:r>
          </w:p>
        </w:tc>
      </w:tr>
    </w:tbl>
    <w:p>
      <w:pPr>
        <w:spacing w:before="0" w:after="160" w:line="120" w:lineRule="exact"/>
        <w:jc w:val="both"/>
      </w:pPr>
    </w:p>
    <w:p>
      <w:pPr>
        <w:spacing w:before="0" w:after="160" w:line="288" w:lineRule="auto"/>
        <w:jc w:val="both"/>
      </w:pPr>
      <w:r>
        <w:rPr>
          <w:rFonts w:ascii="Century Gothic" w:hAnsi="Century Gothic" w:eastAsia="Century Gothic" w:cs="Century Gothic"/>
          <w:color w:val="303232"/>
          <w:sz w:val="18"/>
          <w:szCs w:val="18"/>
          <w:lang w:val="it-IT"/>
        </w:rPr>
        <w:t xml:space="preserve">La finestra di validità parte dal giorno prima perché le entry query confrontano spesso le date in UTC: una finestra che iniziasse oggi potrebbe escludere un run eseguito poco dopo la mezzanotte italiana. Quando un caso contiene valori relativi a oggi, il report e il testbook indicano la </w:t>
      </w:r>
      <w:r>
        <w:rPr>
          <w:rFonts w:ascii="Century Gothic" w:hAnsi="Century Gothic" w:eastAsia="Century Gothic" w:cs="Century Gothic"/>
          <w:b/>
          <w:bCs/>
          <w:color w:val="303232"/>
          <w:sz w:val="18"/>
          <w:szCs w:val="18"/>
          <w:lang w:val="it-IT"/>
        </w:rPr>
        <w:t xml:space="preserve">scadenza di attivazione</w:t>
      </w:r>
      <w:r>
        <w:rPr>
          <w:rFonts w:ascii="Century Gothic" w:hAnsi="Century Gothic" w:eastAsia="Century Gothic" w:cs="Century Gothic"/>
          <w:color w:val="303232"/>
          <w:sz w:val="18"/>
          <w:szCs w:val="18"/>
          <w:lang w:val="it-IT"/>
        </w:rPr>
        <w:t xml:space="preserve">: l'ora entro cui importare i file e attivare il journey perché i valori portino ancora i contatti sui branch previsti.</w:t>
      </w:r>
    </w:p>
    <w:p>
      <w:pPr>
        <w:keepNext/>
        <w:keepLines/>
        <w:spacing w:before="280" w:after="100" w:line="264" w:lineRule="auto"/>
        <w:jc w:val="left"/>
        <w:outlineLvl w:val="1"/>
      </w:pPr>
      <w:bookmarkStart w:id="41" w:name="_Toc100041"/>
      <w:r>
        <w:rPr>
          <w:rFonts w:ascii="Century Gothic" w:hAnsi="Century Gothic" w:eastAsia="Century Gothic" w:cs="Century Gothic"/>
          <w:b/>
          <w:bCs/>
          <w:color w:val="303232"/>
          <w:sz w:val="22"/>
          <w:szCs w:val="22"/>
          <w:lang w:val="it-IT"/>
        </w:rPr>
        <w:t xml:space="preserve">7.5  Le righe della tabella di ingresso</w:t>
      </w:r>
      <w:bookmarkEnd w:id="41"/>
    </w:p>
    <w:p>
      <w:pPr>
        <w:spacing w:before="0" w:after="160" w:line="288" w:lineRule="auto"/>
        <w:jc w:val="both"/>
      </w:pPr>
      <w:r>
        <w:rPr>
          <w:rFonts w:ascii="Century Gothic" w:hAnsi="Century Gothic" w:eastAsia="Century Gothic" w:cs="Century Gothic"/>
          <w:color w:val="303232"/>
          <w:sz w:val="18"/>
          <w:szCs w:val="18"/>
          <w:lang w:val="it-IT"/>
        </w:rPr>
        <w:t xml:space="preserve">Le righe della tabella di ingresso sono calcolate dalla select della entry query applicata alle righe generate per le tabelle sorgente: colonne copiate, letterali, data corrente nel formato richiesto, concatenazioni. Il CSV di ingresso contiene quindi esattamente ciò che la query produrrebbe dagli altri CSV. Una colonna che la query calcola con un'espressione non interpretata riceve il valore richiesto dal caso se uno split la legge, altrimenti un segnaposto; il report lo dichiara. Una tabella unita con </w:t>
      </w:r>
      <w:r>
        <w:rPr>
          <w:rFonts w:ascii="Consolas" w:hAnsi="Consolas" w:eastAsia="Consolas" w:cs="Consolas"/>
          <w:color w:val="303232"/>
          <w:sz w:val="17"/>
          <w:szCs w:val="17"/>
          <w:lang w:val="it-IT"/>
        </w:rPr>
        <w:t xml:space="preserve">LEFT JOIN</w:t>
      </w:r>
      <w:r>
        <w:rPr>
          <w:rFonts w:ascii="Century Gothic" w:hAnsi="Century Gothic" w:eastAsia="Century Gothic" w:cs="Century Gothic"/>
          <w:color w:val="303232"/>
          <w:sz w:val="18"/>
          <w:szCs w:val="18"/>
          <w:lang w:val="it-IT"/>
        </w:rPr>
        <w:t xml:space="preserve"> riceve comunque una riga per contatto.</w:t>
      </w:r>
    </w:p>
    <w:p>
      <w:pPr>
        <w:keepNext/>
        <w:keepLines/>
        <w:spacing w:before="280" w:after="100" w:line="264" w:lineRule="auto"/>
        <w:jc w:val="left"/>
        <w:outlineLvl w:val="1"/>
      </w:pPr>
      <w:bookmarkStart w:id="42" w:name="_Toc100042"/>
      <w:r>
        <w:rPr>
          <w:rFonts w:ascii="Century Gothic" w:hAnsi="Century Gothic" w:eastAsia="Century Gothic" w:cs="Century Gothic"/>
          <w:b/>
          <w:bCs/>
          <w:color w:val="303232"/>
          <w:sz w:val="22"/>
          <w:szCs w:val="22"/>
          <w:lang w:val="it-IT"/>
        </w:rPr>
        <w:t xml:space="preserve">7.6  Scelta tra valori equivalenti</w:t>
      </w:r>
      <w:bookmarkEnd w:id="42"/>
    </w:p>
    <w:p>
      <w:pPr>
        <w:spacing w:before="0" w:after="160" w:line="288" w:lineRule="auto"/>
        <w:jc w:val="both"/>
      </w:pPr>
      <w:r>
        <w:rPr>
          <w:rFonts w:ascii="Century Gothic" w:hAnsi="Century Gothic" w:eastAsia="Century Gothic" w:cs="Century Gothic"/>
          <w:color w:val="303232"/>
          <w:sz w:val="18"/>
          <w:szCs w:val="18"/>
          <w:lang w:val="it-IT"/>
        </w:rPr>
        <w:t xml:space="preserve">Quando più valori coprono gli stessi branch, la preferenza va nell'ordine a: un valore presente rispetto a un campo vuoto; una riga presente rispetto a una riga assente; un valore interno a un intervallo rispetto a uno citato da una condizione. Un valore vuoto o una riga assente portano con sé assunzioni ancora da verificare, per esempio </w:t>
      </w:r>
      <w:r>
        <w:rPr>
          <w:rFonts w:ascii="Consolas" w:hAnsi="Consolas" w:eastAsia="Consolas" w:cs="Consolas"/>
          <w:color w:val="303232"/>
          <w:sz w:val="17"/>
          <w:szCs w:val="17"/>
          <w:lang w:val="it-IT"/>
        </w:rPr>
        <w:t xml:space="preserve">IsNot</w:t>
      </w:r>
      <w:r>
        <w:rPr>
          <w:rFonts w:ascii="Century Gothic" w:hAnsi="Century Gothic" w:eastAsia="Century Gothic" w:cs="Century Gothic"/>
          <w:color w:val="303232"/>
          <w:sz w:val="18"/>
          <w:szCs w:val="18"/>
          <w:lang w:val="it-IT"/>
        </w:rPr>
        <w:t xml:space="preserve"> su un campo vuoto, e un test che non ne dipende resta valido qualunque sia l'esito della verifica.</w:t>
      </w:r>
    </w:p>
    <w:p>
      <w:pPr>
        <w:keepNext/>
        <w:keepLines/>
        <w:spacing w:before="280" w:after="100" w:line="264" w:lineRule="auto"/>
        <w:jc w:val="left"/>
        <w:outlineLvl w:val="1"/>
      </w:pPr>
      <w:bookmarkStart w:id="43" w:name="_Toc100043"/>
      <w:r>
        <w:rPr>
          <w:rFonts w:ascii="Century Gothic" w:hAnsi="Century Gothic" w:eastAsia="Century Gothic" w:cs="Century Gothic"/>
          <w:b/>
          <w:bCs/>
          <w:color w:val="303232"/>
          <w:sz w:val="22"/>
          <w:szCs w:val="22"/>
          <w:lang w:val="it-IT"/>
        </w:rPr>
        <w:t xml:space="preserve">7.7  Formato dei file</w:t>
      </w:r>
      <w:bookmarkEnd w:id="43"/>
    </w:p>
    <w:p>
      <w:pPr>
        <w:spacing w:before="0" w:after="160" w:line="288" w:lineRule="auto"/>
        <w:jc w:val="both"/>
      </w:pPr>
      <w:r>
        <w:rPr>
          <w:rFonts w:ascii="Century Gothic" w:hAnsi="Century Gothic" w:eastAsia="Century Gothic" w:cs="Century Gothic"/>
          <w:color w:val="303232"/>
          <w:sz w:val="18"/>
          <w:szCs w:val="18"/>
          <w:lang w:val="it-IT"/>
        </w:rPr>
        <w:t xml:space="preserve">UTF-8, separatore virgola, una riga di intestazione con i nomi esatti dei campi nell'ordine dello schema, </w:t>
      </w:r>
      <w:r>
        <w:rPr>
          <w:rFonts w:ascii="Consolas" w:hAnsi="Consolas" w:eastAsia="Consolas" w:cs="Consolas"/>
          <w:color w:val="303232"/>
          <w:sz w:val="17"/>
          <w:szCs w:val="17"/>
          <w:lang w:val="it-IT"/>
        </w:rPr>
        <w:t xml:space="preserve">True</w:t>
      </w:r>
      <w:r>
        <w:rPr>
          <w:rFonts w:ascii="Century Gothic" w:hAnsi="Century Gothic" w:eastAsia="Century Gothic" w:cs="Century Gothic"/>
          <w:color w:val="303232"/>
          <w:sz w:val="18"/>
          <w:szCs w:val="18"/>
          <w:lang w:val="it-IT"/>
        </w:rPr>
        <w:t xml:space="preserve"> e </w:t>
      </w:r>
      <w:r>
        <w:rPr>
          <w:rFonts w:ascii="Consolas" w:hAnsi="Consolas" w:eastAsia="Consolas" w:cs="Consolas"/>
          <w:color w:val="303232"/>
          <w:sz w:val="17"/>
          <w:szCs w:val="17"/>
          <w:lang w:val="it-IT"/>
        </w:rPr>
        <w:t xml:space="preserve">False</w:t>
      </w:r>
      <w:r>
        <w:rPr>
          <w:rFonts w:ascii="Century Gothic" w:hAnsi="Century Gothic" w:eastAsia="Century Gothic" w:cs="Century Gothic"/>
          <w:color w:val="303232"/>
          <w:sz w:val="18"/>
          <w:szCs w:val="18"/>
          <w:lang w:val="it-IT"/>
        </w:rPr>
        <w:t xml:space="preserve"> per i Boolean, date nel formato </w:t>
      </w:r>
      <w:r>
        <w:rPr>
          <w:rFonts w:ascii="Consolas" w:hAnsi="Consolas" w:eastAsia="Consolas" w:cs="Consolas"/>
          <w:color w:val="303232"/>
          <w:sz w:val="17"/>
          <w:szCs w:val="17"/>
          <w:lang w:val="it-IT"/>
        </w:rPr>
        <w:t xml:space="preserve">YYYY-MM-DD HH:MM</w:t>
      </w:r>
      <w:r>
        <w:rPr>
          <w:rFonts w:ascii="Century Gothic" w:hAnsi="Century Gothic" w:eastAsia="Century Gothic" w:cs="Century Gothic"/>
          <w:color w:val="303232"/>
          <w:sz w:val="18"/>
          <w:szCs w:val="18"/>
          <w:lang w:val="it-IT"/>
        </w:rPr>
        <w:t xml:space="preserve">, cella vuota per il null. Una cella non contiene mai solo spazi, perché Salesforce la importerebbe come un valore.</w:t>
      </w:r>
    </w:p>
    <w:p>
      <w:pPr>
        <w:keepNext/>
        <w:keepLines/>
        <w:spacing w:before="600" w:after="200" w:line="264" w:lineRule="auto"/>
        <w:jc w:val="left"/>
        <w:outlineLvl w:val="0"/>
      </w:pPr>
      <w:bookmarkStart w:id="44" w:name="_Toc100044"/>
      <w:r>
        <w:rPr>
          <w:rFonts w:ascii="Century Gothic" w:hAnsi="Century Gothic" w:eastAsia="Century Gothic" w:cs="Century Gothic"/>
          <w:b/>
          <w:bCs/>
          <w:color w:val="BE0036"/>
          <w:sz w:val="30"/>
          <w:szCs w:val="30"/>
          <w:lang w:val="it-IT"/>
        </w:rPr>
        <w:t xml:space="preserve">8  Controlli di affidabilità</w:t>
      </w:r>
      <w:bookmarkEnd w:id="44"/>
    </w:p>
    <w:p>
      <w:pPr>
        <w:spacing w:before="0" w:after="160" w:line="288" w:lineRule="auto"/>
        <w:jc w:val="both"/>
      </w:pPr>
      <w:r>
        <w:rPr>
          <w:rFonts w:ascii="Century Gothic" w:hAnsi="Century Gothic" w:eastAsia="Century Gothic" w:cs="Century Gothic"/>
          <w:color w:val="303232"/>
          <w:sz w:val="18"/>
          <w:szCs w:val="18"/>
          <w:lang w:val="it-IT"/>
        </w:rPr>
        <w:t xml:space="preserve">Dopo aver scritto i file, lo strumento li rilegge dal disco e li controlla. I controlli sui dati partono dai file riletti e non dalle strutture in memoria del generatore, così anche un errore introdotto in scrittura viene intercettato.</w:t>
      </w:r>
    </w:p>
    <w:p>
      <w:pPr>
        <w:keepNext/>
        <w:spacing w:before="120" w:after="80" w:line="288" w:lineRule="auto"/>
        <w:jc w:val="left"/>
      </w:pPr>
      <w:r>
        <w:rPr>
          <w:rFonts w:ascii="Century Gothic" w:hAnsi="Century Gothic" w:eastAsia="Century Gothic" w:cs="Century Gothic"/>
          <w:i/>
          <w:iCs/>
          <w:color w:val="7F7F7F"/>
          <w:sz w:val="15"/>
          <w:szCs w:val="15"/>
          <w:lang w:val="it-IT"/>
        </w:rPr>
        <w:t xml:space="preserve">Tabella 10. I sette controlli di affidabilità.</w:t>
      </w:r>
    </w:p>
    <w:tbl>
      <w:tblPr>
        <w:tblW w:w="9638" w:type="dxa"/>
        <w:jc w:val="left"/>
        <w:tblBorders>
          <w:top w:val="single" w:sz="6" w:space="0" w:color="BE0036"/>
          <w:left w:val="nil"/>
          <w:bottom w:val="single" w:sz="6" w:space="0" w:color="BFBFBF"/>
          <w:right w:val="nil"/>
          <w:insideH w:val="single" w:sz="4" w:space="0" w:color="D9D9D9"/>
          <w:insideV w:val="nil"/>
        </w:tblBorders>
        <w:tblLayout w:type="fixed"/>
        <w:tblCellMar>
          <w:top w:w="70" w:type="dxa"/>
          <w:left w:w="100" w:type="dxa"/>
          <w:bottom w:w="70" w:type="dxa"/>
          <w:right w:w="100" w:type="dxa"/>
        </w:tblCellMar>
        <w:tblLook w:val="04A0" w:firstRow="1" w:lastRow="0" w:firstColumn="0" w:lastColumn="0" w:noHBand="0" w:noVBand="1"/>
      </w:tblPr>
      <w:tblGrid>
        <w:gridCol w:w="3300"/>
        <w:gridCol w:w="6338"/>
      </w:tblGrid>
      <w:tr>
        <w:trPr>
          <w:cantSplit/>
          <w:tblHeader/>
        </w:trPr>
        <w:tc>
          <w:tcPr>
            <w:tcW w:w="33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Controllo</w:t>
            </w:r>
          </w:p>
        </w:tc>
        <w:tc>
          <w:tcPr>
            <w:tcW w:w="6338"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Se non è superato</w:t>
            </w:r>
          </w:p>
        </w:tc>
      </w:tr>
      <w:tr>
        <w:trPr>
          <w:cantSplit/>
        </w:trPr>
        <w:tc>
          <w:tcPr>
            <w:tcW w:w="3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 valori rispettano tipo, lunghezza, nullabilità e chiave primaria</w:t>
            </w:r>
          </w:p>
        </w:tc>
        <w:tc>
          <w:tcPr>
            <w:tcW w:w="6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L'import potrebbe scartare righe o troncare valori.</w:t>
            </w:r>
          </w:p>
        </w:tc>
      </w:tr>
      <w:tr>
        <w:trPr>
          <w:cantSplit/>
        </w:trPr>
        <w:tc>
          <w:tcPr>
            <w:tcW w:w="3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Ogni chiave trova le sue righe nelle altre tabelle</w:t>
            </w:r>
          </w:p>
        </w:tc>
        <w:tc>
          <w:tcPr>
            <w:tcW w:w="6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Alcuni contatti non troverebbero la riga del loro scenario o le righe collegate, e i loro split vedrebbero valori diversi da quelli previsti. Fanno eccezione solo le righe assenti volute.</w:t>
            </w:r>
          </w:p>
        </w:tc>
      </w:tr>
      <w:tr>
        <w:trPr>
          <w:cantSplit/>
        </w:trPr>
        <w:tc>
          <w:tcPr>
            <w:tcW w:w="3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Le righe di ingresso corrispondono alla entry query</w:t>
            </w:r>
          </w:p>
        </w:tc>
        <w:tc>
          <w:tcPr>
            <w:tcW w:w="6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Il CSV di ingresso non conterrebbe ciò che la query costruirebbe dagli altri CSV.</w:t>
            </w:r>
          </w:p>
        </w:tc>
      </w:tr>
      <w:tr>
        <w:trPr>
          <w:cantSplit/>
        </w:trPr>
        <w:tc>
          <w:tcPr>
            <w:tcW w:w="3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Ogni contatto, simulato di nuovo dai file, segue il percorso previsto</w:t>
            </w:r>
          </w:p>
        </w:tc>
        <w:tc>
          <w:tcPr>
            <w:tcW w:w="6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Il risultato atteso nel testbook potrebbe essere sbagliato per alcuni contatti.</w:t>
            </w:r>
          </w:p>
        </w:tc>
      </w:tr>
      <w:tr>
        <w:trPr>
          <w:cantSplit/>
        </w:trPr>
        <w:tc>
          <w:tcPr>
            <w:tcW w:w="3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Ogni branch raggiungibile è coperto e ogni branch non coperto ha un motivo</w:t>
            </w:r>
          </w:p>
        </w:tc>
        <w:tc>
          <w:tcPr>
            <w:tcW w:w="6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La copertura dichiarata nel report non sarebbe affidabile.</w:t>
            </w:r>
          </w:p>
        </w:tc>
      </w:tr>
      <w:tr>
        <w:trPr>
          <w:cantSplit/>
        </w:trPr>
        <w:tc>
          <w:tcPr>
            <w:tcW w:w="3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Solo i contatti con un'azione manuale usano l'inbox reale</w:t>
            </w:r>
          </w:p>
        </w:tc>
        <w:tc>
          <w:tcPr>
            <w:tcW w:w="6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Alcune email potrebbero arrivare a caselle reali senza motivo.</w:t>
            </w:r>
          </w:p>
        </w:tc>
      </w:tr>
      <w:tr>
        <w:trPr>
          <w:cantSplit/>
        </w:trPr>
        <w:tc>
          <w:tcPr>
            <w:tcW w:w="3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Due esecuzioni con lo stesso input producono gli stessi file</w:t>
            </w:r>
          </w:p>
        </w:tc>
        <w:tc>
          <w:tcPr>
            <w:tcW w:w="6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Lo stesso export non darebbe gli stessi dati.</w:t>
            </w:r>
          </w:p>
        </w:tc>
      </w:tr>
    </w:tbl>
    <w:p>
      <w:pPr>
        <w:spacing w:before="0" w:after="160" w:line="120" w:lineRule="exact"/>
        <w:jc w:val="both"/>
      </w:pPr>
    </w:p>
    <w:p>
      <w:pPr>
        <w:spacing w:before="0" w:after="160" w:line="288" w:lineRule="auto"/>
        <w:jc w:val="both"/>
      </w:pPr>
      <w:r>
        <w:rPr>
          <w:rFonts w:ascii="Century Gothic" w:hAnsi="Century Gothic" w:eastAsia="Century Gothic" w:cs="Century Gothic"/>
          <w:color w:val="303232"/>
          <w:sz w:val="18"/>
          <w:szCs w:val="18"/>
          <w:lang w:val="it-IT"/>
        </w:rPr>
        <w:t xml:space="preserve">La nuova simulazione usa lo stesso simulatore della derivazione dei casi, ma riceve solo i valori letti dai CSV: il collegamento tra contatto e scenario viene ricostruito dalle sue righe, non dalla memoria del generatore. Quando un controllo non può verificare un elemento (un filtro SQL non interpretato, una colonna calcolata da un'espressione non compresa, una tabella unita con </w:t>
      </w:r>
      <w:r>
        <w:rPr>
          <w:rFonts w:ascii="Consolas" w:hAnsi="Consolas" w:eastAsia="Consolas" w:cs="Consolas"/>
          <w:color w:val="303232"/>
          <w:sz w:val="17"/>
          <w:szCs w:val="17"/>
          <w:lang w:val="it-IT"/>
        </w:rPr>
        <w:t xml:space="preserve">LEFT JOIN</w:t>
      </w:r>
      <w:r>
        <w:rPr>
          <w:rFonts w:ascii="Century Gothic" w:hAnsi="Century Gothic" w:eastAsia="Century Gothic" w:cs="Century Gothic"/>
          <w:color w:val="303232"/>
          <w:sz w:val="18"/>
          <w:szCs w:val="18"/>
          <w:lang w:val="it-IT"/>
        </w:rPr>
        <w:t xml:space="preserve">) lo riporta come «non verificato» con il motivo, senza dichiarare un fallimento. Da riga di comando il programma termina con codice 0 se tutti i controlli sono superati e con codice 2 altrimenti.</w:t>
      </w:r>
    </w:p>
    <w:p>
      <w:pPr>
        <w:keepNext/>
        <w:keepLines/>
        <w:spacing w:before="600" w:after="200" w:line="264" w:lineRule="auto"/>
        <w:jc w:val="left"/>
        <w:outlineLvl w:val="0"/>
      </w:pPr>
      <w:bookmarkStart w:id="45" w:name="_Toc100045"/>
      <w:r>
        <w:rPr>
          <w:rFonts w:ascii="Century Gothic" w:hAnsi="Century Gothic" w:eastAsia="Century Gothic" w:cs="Century Gothic"/>
          <w:b/>
          <w:bCs/>
          <w:color w:val="BE0036"/>
          <w:sz w:val="30"/>
          <w:szCs w:val="30"/>
          <w:lang w:val="it-IT"/>
        </w:rPr>
        <w:t xml:space="preserve">9  Output e utilizzo</w:t>
      </w:r>
      <w:bookmarkEnd w:id="45"/>
    </w:p>
    <w:p>
      <w:pPr>
        <w:keepNext/>
        <w:keepLines/>
        <w:spacing w:before="280" w:after="100" w:line="264" w:lineRule="auto"/>
        <w:jc w:val="left"/>
        <w:outlineLvl w:val="1"/>
      </w:pPr>
      <w:bookmarkStart w:id="46" w:name="_Toc100046"/>
      <w:r>
        <w:rPr>
          <w:rFonts w:ascii="Century Gothic" w:hAnsi="Century Gothic" w:eastAsia="Century Gothic" w:cs="Century Gothic"/>
          <w:b/>
          <w:bCs/>
          <w:color w:val="303232"/>
          <w:sz w:val="22"/>
          <w:szCs w:val="22"/>
          <w:lang w:val="it-IT"/>
        </w:rPr>
        <w:t xml:space="preserve">9.1  I file prodotti</w:t>
      </w:r>
      <w:bookmarkEnd w:id="46"/>
    </w:p>
    <w:p>
      <w:pPr>
        <w:keepNext/>
        <w:spacing w:before="120" w:after="80" w:line="288" w:lineRule="auto"/>
        <w:jc w:val="left"/>
      </w:pPr>
      <w:r>
        <w:rPr>
          <w:rFonts w:ascii="Century Gothic" w:hAnsi="Century Gothic" w:eastAsia="Century Gothic" w:cs="Century Gothic"/>
          <w:i/>
          <w:iCs/>
          <w:color w:val="7F7F7F"/>
          <w:sz w:val="15"/>
          <w:szCs w:val="15"/>
          <w:lang w:val="it-IT"/>
        </w:rPr>
        <w:t xml:space="preserve">Tabella 11. I file prodotti a ogni generazione.</w:t>
      </w:r>
    </w:p>
    <w:tbl>
      <w:tblPr>
        <w:tblW w:w="9638" w:type="dxa"/>
        <w:jc w:val="left"/>
        <w:tblBorders>
          <w:top w:val="single" w:sz="6" w:space="0" w:color="BE0036"/>
          <w:left w:val="nil"/>
          <w:bottom w:val="single" w:sz="6" w:space="0" w:color="BFBFBF"/>
          <w:right w:val="nil"/>
          <w:insideH w:val="single" w:sz="4" w:space="0" w:color="D9D9D9"/>
          <w:insideV w:val="nil"/>
        </w:tblBorders>
        <w:tblLayout w:type="fixed"/>
        <w:tblCellMar>
          <w:top w:w="70" w:type="dxa"/>
          <w:left w:w="100" w:type="dxa"/>
          <w:bottom w:w="70" w:type="dxa"/>
          <w:right w:w="100" w:type="dxa"/>
        </w:tblCellMar>
        <w:tblLook w:val="04A0" w:firstRow="1" w:lastRow="0" w:firstColumn="0" w:lastColumn="0" w:noHBand="0" w:noVBand="1"/>
      </w:tblPr>
      <w:tblGrid>
        <w:gridCol w:w="2300"/>
        <w:gridCol w:w="7338"/>
      </w:tblGrid>
      <w:tr>
        <w:trPr>
          <w:cantSplit/>
          <w:tblHeader/>
        </w:trPr>
        <w:tc>
          <w:tcPr>
            <w:tcW w:w="23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File</w:t>
            </w:r>
          </w:p>
        </w:tc>
        <w:tc>
          <w:tcPr>
            <w:tcW w:w="7338"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Contenuto</w:t>
            </w:r>
          </w:p>
        </w:tc>
      </w:tr>
      <w:tr>
        <w:trPr>
          <w:cantSplit/>
        </w:trPr>
        <w:tc>
          <w:tcPr>
            <w:tcW w:w="2300" w:type="dxa"/>
            <w:vAlign w:val="top"/>
          </w:tcPr>
          <w:p>
            <w:pPr>
              <w:spacing w:before="0" w:after="0" w:line="264" w:lineRule="auto"/>
              <w:jc w:val="left"/>
            </w:pPr>
            <w:r>
              <w:rPr>
                <w:rFonts w:ascii="Consolas" w:hAnsi="Consolas" w:eastAsia="Consolas" w:cs="Consolas"/>
                <w:color w:val="303232"/>
                <w:sz w:val="15"/>
                <w:szCs w:val="15"/>
                <w:lang w:val="it-IT"/>
              </w:rPr>
              <w:t xml:space="preserve">&lt;Tabella&gt;.csv</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Un file per ogni data extension selezionata, con tutti gli scenari, pronto per l'import.</w:t>
            </w:r>
          </w:p>
        </w:tc>
      </w:tr>
      <w:tr>
        <w:trPr>
          <w:cantSplit/>
        </w:trPr>
        <w:tc>
          <w:tcPr>
            <w:tcW w:w="2300" w:type="dxa"/>
            <w:shd w:val="clear" w:color="auto" w:fill="F6F6F6"/>
            <w:vAlign w:val="top"/>
          </w:tcPr>
          <w:p>
            <w:pPr>
              <w:spacing w:before="0" w:after="0" w:line="264" w:lineRule="auto"/>
              <w:jc w:val="left"/>
            </w:pPr>
            <w:r>
              <w:rPr>
                <w:rFonts w:ascii="Consolas" w:hAnsi="Consolas" w:eastAsia="Consolas" w:cs="Consolas"/>
                <w:color w:val="303232"/>
                <w:sz w:val="15"/>
                <w:szCs w:val="15"/>
                <w:lang w:val="it-IT"/>
              </w:rPr>
              <w:t xml:space="preserve">scenarios.csv</w:t>
            </w:r>
          </w:p>
        </w:tc>
        <w:tc>
          <w:tcPr>
            <w:tcW w:w="7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Una riga per scenario: chiave, ordine di esecuzione, scenario attivo all'inizio, numero di casi e contatti, valori a livello di scenario.</w:t>
            </w:r>
          </w:p>
        </w:tc>
      </w:tr>
      <w:tr>
        <w:trPr>
          <w:cantSplit/>
        </w:trPr>
        <w:tc>
          <w:tcPr>
            <w:tcW w:w="2300" w:type="dxa"/>
            <w:vAlign w:val="top"/>
          </w:tcPr>
          <w:p>
            <w:pPr>
              <w:spacing w:before="0" w:after="0" w:line="264" w:lineRule="auto"/>
              <w:jc w:val="left"/>
            </w:pPr>
            <w:r>
              <w:rPr>
                <w:rFonts w:ascii="Consolas" w:hAnsi="Consolas" w:eastAsia="Consolas" w:cs="Consolas"/>
                <w:color w:val="303232"/>
                <w:sz w:val="15"/>
                <w:szCs w:val="15"/>
                <w:lang w:val="it-IT"/>
              </w:rPr>
              <w:t xml:space="preserve">report.md</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Il documento da leggere per primo: riepilogo, esito dei controlli, tabelle, procedura di esecuzione, scenari e casi, branch non coperti con le cause, criteri di uscita, elementi non supportati, avvisi e anomalie rilevate, assunzioni attivate dall'export, impostazioni usate.</w:t>
            </w:r>
          </w:p>
        </w:tc>
      </w:tr>
      <w:tr>
        <w:trPr>
          <w:cantSplit/>
        </w:trPr>
        <w:tc>
          <w:tcPr>
            <w:tcW w:w="2300" w:type="dxa"/>
            <w:shd w:val="clear" w:color="auto" w:fill="F6F6F6"/>
            <w:vAlign w:val="top"/>
          </w:tcPr>
          <w:p>
            <w:pPr>
              <w:spacing w:before="0" w:after="0" w:line="264" w:lineRule="auto"/>
              <w:jc w:val="left"/>
            </w:pPr>
            <w:r>
              <w:rPr>
                <w:rFonts w:ascii="Consolas" w:hAnsi="Consolas" w:eastAsia="Consolas" w:cs="Consolas"/>
                <w:color w:val="303232"/>
                <w:sz w:val="15"/>
                <w:szCs w:val="15"/>
                <w:lang w:val="it-IT"/>
              </w:rPr>
              <w:t xml:space="preserve">testbook.xlsx</w:t>
            </w:r>
          </w:p>
        </w:tc>
        <w:tc>
          <w:tcPr>
            <w:tcW w:w="7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Un test per caso nel formato del team, con il risultato atteso.</w:t>
            </w:r>
          </w:p>
        </w:tc>
      </w:tr>
      <w:tr>
        <w:trPr>
          <w:cantSplit/>
        </w:trPr>
        <w:tc>
          <w:tcPr>
            <w:tcW w:w="2300" w:type="dxa"/>
            <w:vAlign w:val="top"/>
          </w:tcPr>
          <w:p>
            <w:pPr>
              <w:spacing w:before="0" w:after="0" w:line="264" w:lineRule="auto"/>
              <w:jc w:val="left"/>
            </w:pPr>
            <w:r>
              <w:rPr>
                <w:rFonts w:ascii="Consolas" w:hAnsi="Consolas" w:eastAsia="Consolas" w:cs="Consolas"/>
                <w:color w:val="303232"/>
                <w:sz w:val="15"/>
                <w:szCs w:val="15"/>
                <w:lang w:val="it-IT"/>
              </w:rPr>
              <w:t xml:space="preserve">test_data.zip</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Tutti i file precedenti in un unico archivio.</w:t>
            </w:r>
          </w:p>
        </w:tc>
      </w:tr>
    </w:tbl>
    <w:p>
      <w:pPr>
        <w:spacing w:before="0" w:after="160" w:line="120" w:lineRule="exact"/>
        <w:jc w:val="both"/>
      </w:pPr>
    </w:p>
    <w:p>
      <w:pPr>
        <w:keepNext/>
        <w:keepLines/>
        <w:spacing w:before="280" w:after="100" w:line="264" w:lineRule="auto"/>
        <w:jc w:val="left"/>
        <w:outlineLvl w:val="1"/>
      </w:pPr>
      <w:bookmarkStart w:id="47" w:name="_Toc100047"/>
      <w:r>
        <w:rPr>
          <w:rFonts w:ascii="Century Gothic" w:hAnsi="Century Gothic" w:eastAsia="Century Gothic" w:cs="Century Gothic"/>
          <w:b/>
          <w:bCs/>
          <w:color w:val="303232"/>
          <w:sz w:val="22"/>
          <w:szCs w:val="22"/>
          <w:lang w:val="it-IT"/>
        </w:rPr>
        <w:t xml:space="preserve">9.2  Il testbook</w:t>
      </w:r>
      <w:bookmarkEnd w:id="47"/>
    </w:p>
    <w:p>
      <w:pPr>
        <w:keepNext/>
        <w:spacing w:before="120" w:after="80" w:line="288" w:lineRule="auto"/>
        <w:jc w:val="left"/>
      </w:pPr>
      <w:r>
        <w:rPr>
          <w:rFonts w:ascii="Century Gothic" w:hAnsi="Century Gothic" w:eastAsia="Century Gothic" w:cs="Century Gothic"/>
          <w:i/>
          <w:iCs/>
          <w:color w:val="7F7F7F"/>
          <w:sz w:val="15"/>
          <w:szCs w:val="15"/>
          <w:lang w:val="it-IT"/>
        </w:rPr>
        <w:t xml:space="preserve">Tabella 12. Le colonne del testbook.</w:t>
      </w:r>
    </w:p>
    <w:tbl>
      <w:tblPr>
        <w:tblW w:w="9638" w:type="dxa"/>
        <w:jc w:val="left"/>
        <w:tblBorders>
          <w:top w:val="single" w:sz="6" w:space="0" w:color="BE0036"/>
          <w:left w:val="nil"/>
          <w:bottom w:val="single" w:sz="6" w:space="0" w:color="BFBFBF"/>
          <w:right w:val="nil"/>
          <w:insideH w:val="single" w:sz="4" w:space="0" w:color="D9D9D9"/>
          <w:insideV w:val="nil"/>
        </w:tblBorders>
        <w:tblLayout w:type="fixed"/>
        <w:tblCellMar>
          <w:top w:w="70" w:type="dxa"/>
          <w:left w:w="100" w:type="dxa"/>
          <w:bottom w:w="70" w:type="dxa"/>
          <w:right w:w="100" w:type="dxa"/>
        </w:tblCellMar>
        <w:tblLook w:val="04A0" w:firstRow="1" w:lastRow="0" w:firstColumn="0" w:lastColumn="0" w:noHBand="0" w:noVBand="1"/>
      </w:tblPr>
      <w:tblGrid>
        <w:gridCol w:w="2300"/>
        <w:gridCol w:w="7338"/>
      </w:tblGrid>
      <w:tr>
        <w:trPr>
          <w:cantSplit/>
          <w:tblHeader/>
        </w:trPr>
        <w:tc>
          <w:tcPr>
            <w:tcW w:w="23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Colonna</w:t>
            </w:r>
          </w:p>
        </w:tc>
        <w:tc>
          <w:tcPr>
            <w:tcW w:w="7338"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Contenuto</w:t>
            </w:r>
          </w:p>
        </w:tc>
      </w:tr>
      <w:tr>
        <w:trPr>
          <w:cantSplit/>
        </w:trPr>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ID</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Numero progressivo del test.</w:t>
            </w:r>
          </w:p>
        </w:tc>
      </w:tr>
      <w:tr>
        <w:trPr>
          <w:cantSplit/>
        </w:trPr>
        <w:tc>
          <w:tcPr>
            <w:tcW w:w="2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Owner system</w:t>
            </w:r>
          </w:p>
        </w:tc>
        <w:tc>
          <w:tcPr>
            <w:tcW w:w="7338" w:type="dxa"/>
            <w:shd w:val="clear" w:color="auto" w:fill="F6F6F6"/>
            <w:vAlign w:val="top"/>
          </w:tcPr>
          <w:p>
            <w:pPr>
              <w:spacing w:before="0" w:after="0" w:line="264" w:lineRule="auto"/>
              <w:jc w:val="left"/>
            </w:pPr>
            <w:r>
              <w:rPr>
                <w:rFonts w:ascii="Consolas" w:hAnsi="Consolas" w:eastAsia="Consolas" w:cs="Consolas"/>
                <w:color w:val="303232"/>
                <w:sz w:val="15"/>
                <w:szCs w:val="15"/>
                <w:lang w:val="it-IT"/>
              </w:rPr>
              <w:t xml:space="preserve">SFMC</w:t>
            </w:r>
            <w:r>
              <w:rPr>
                <w:rFonts w:ascii="Century Gothic" w:hAnsi="Century Gothic" w:eastAsia="Century Gothic" w:cs="Century Gothic"/>
                <w:color w:val="303232"/>
                <w:sz w:val="16"/>
                <w:szCs w:val="16"/>
                <w:lang w:val="it-IT"/>
              </w:rPr>
              <w:t xml:space="preserve">.</w:t>
            </w:r>
          </w:p>
        </w:tc>
      </w:tr>
      <w:tr>
        <w:trPr>
          <w:cantSplit/>
        </w:trPr>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Test name</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Identificativo del caso e sintesi del percorso, per esempio «S07-C02 - Email inviata sul canale 1, nessun consenso telefonico».</w:t>
            </w:r>
          </w:p>
        </w:tc>
      </w:tr>
      <w:tr>
        <w:trPr>
          <w:cantSplit/>
        </w:trPr>
        <w:tc>
          <w:tcPr>
            <w:tcW w:w="2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Description</w:t>
            </w:r>
          </w:p>
        </w:tc>
        <w:tc>
          <w:tcPr>
            <w:tcW w:w="7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Valori dello scenario, profilo dei contatti, percorso atteso come sequenza di attività.</w:t>
            </w:r>
          </w:p>
        </w:tc>
      </w:tr>
      <w:tr>
        <w:trPr>
          <w:cantSplit/>
        </w:trPr>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Pre conditions</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CSV da importare, scenario da attivare, chiavi dei contatti di test.</w:t>
            </w:r>
          </w:p>
        </w:tc>
      </w:tr>
      <w:tr>
        <w:trPr>
          <w:cantSplit/>
        </w:trPr>
        <w:tc>
          <w:tcPr>
            <w:tcW w:w="2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Detailed steps</w:t>
            </w:r>
          </w:p>
        </w:tc>
        <w:tc>
          <w:tcPr>
            <w:tcW w:w="7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Passi numerati: attivazione dello scenario, ingresso, timeline del caso (giorno e ora di ogni passo, contati dall'ingresso), eventuali azioni manuali con la loro scadenza, raccolta delle evidenze.</w:t>
            </w:r>
          </w:p>
        </w:tc>
      </w:tr>
      <w:tr>
        <w:trPr>
          <w:cantSplit/>
        </w:trPr>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Expected result</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Per ogni contatto: email e SMS ricevuti, valori scritti dal journey, ultima attività raggiunta o uscita per i criteri di uscita.</w:t>
            </w:r>
          </w:p>
        </w:tc>
      </w:tr>
      <w:tr>
        <w:trPr>
          <w:cantSplit/>
        </w:trPr>
        <w:tc>
          <w:tcPr>
            <w:tcW w:w="2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Status</w:t>
            </w:r>
          </w:p>
        </w:tc>
        <w:tc>
          <w:tcPr>
            <w:tcW w:w="7338" w:type="dxa"/>
            <w:shd w:val="clear" w:color="auto" w:fill="F6F6F6"/>
            <w:vAlign w:val="top"/>
          </w:tcPr>
          <w:p>
            <w:pPr>
              <w:spacing w:before="0" w:after="0" w:line="264" w:lineRule="auto"/>
              <w:jc w:val="left"/>
            </w:pPr>
            <w:r>
              <w:rPr>
                <w:rFonts w:ascii="Consolas" w:hAnsi="Consolas" w:eastAsia="Consolas" w:cs="Consolas"/>
                <w:color w:val="303232"/>
                <w:sz w:val="15"/>
                <w:szCs w:val="15"/>
                <w:lang w:val="it-IT"/>
              </w:rPr>
              <w:t xml:space="preserve">TO START</w:t>
            </w:r>
            <w:r>
              <w:rPr>
                <w:rFonts w:ascii="Century Gothic" w:hAnsi="Century Gothic" w:eastAsia="Century Gothic" w:cs="Century Gothic"/>
                <w:color w:val="303232"/>
                <w:sz w:val="16"/>
                <w:szCs w:val="16"/>
                <w:lang w:val="it-IT"/>
              </w:rPr>
              <w:t xml:space="preserve">.</w:t>
            </w:r>
          </w:p>
        </w:tc>
      </w:tr>
      <w:tr>
        <w:trPr>
          <w:cantSplit/>
        </w:trPr>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Note</w:t>
            </w:r>
          </w:p>
        </w:tc>
        <w:tc>
          <w:tcPr>
            <w:tcW w:w="7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Azione manuale richiesta, intervallo accettato per un caso statistico, scadenza di attivazione dei dati.</w:t>
            </w:r>
          </w:p>
        </w:tc>
      </w:tr>
    </w:tbl>
    <w:p>
      <w:pPr>
        <w:spacing w:before="0" w:after="160" w:line="120" w:lineRule="exact"/>
        <w:jc w:val="both"/>
      </w:pPr>
    </w:p>
    <w:p>
      <w:pPr>
        <w:spacing w:before="0" w:after="160" w:line="288" w:lineRule="auto"/>
        <w:jc w:val="both"/>
      </w:pPr>
      <w:r>
        <w:rPr>
          <w:rFonts w:ascii="Century Gothic" w:hAnsi="Century Gothic" w:eastAsia="Century Gothic" w:cs="Century Gothic"/>
          <w:color w:val="303232"/>
          <w:sz w:val="18"/>
          <w:szCs w:val="18"/>
          <w:lang w:val="it-IT"/>
        </w:rPr>
        <w:t xml:space="preserve">Il testbook ha una riga per caso, non per contatto: i contatti di un caso condividono il risultato atteso e sono elencati nelle Pre conditions. I 50 contatti di un caso statistico sono indicati come intervallo di chiavi.</w:t>
      </w:r>
    </w:p>
    <w:p>
      <w:pPr>
        <w:keepNext/>
        <w:keepLines/>
        <w:spacing w:before="280" w:after="100" w:line="264" w:lineRule="auto"/>
        <w:jc w:val="left"/>
        <w:outlineLvl w:val="1"/>
      </w:pPr>
      <w:bookmarkStart w:id="48" w:name="_Toc100048"/>
      <w:r>
        <w:rPr>
          <w:rFonts w:ascii="Century Gothic" w:hAnsi="Century Gothic" w:eastAsia="Century Gothic" w:cs="Century Gothic"/>
          <w:b/>
          <w:bCs/>
          <w:color w:val="303232"/>
          <w:sz w:val="22"/>
          <w:szCs w:val="22"/>
          <w:lang w:val="it-IT"/>
        </w:rPr>
        <w:t xml:space="preserve">9.3  La procedura di test</w:t>
      </w:r>
      <w:bookmarkEnd w:id="48"/>
    </w:p>
    <w:p>
      <w:pPr>
        <w:tabs>
          <w:tab w:val="left" w:pos="567"/>
        </w:tabs>
        <w:spacing w:before="0" w:after="80" w:line="288" w:lineRule="auto"/>
        <w:ind w:left="567" w:hanging="567"/>
        <w:jc w:val="both"/>
      </w:pPr>
      <w:r>
        <w:rPr>
          <w:rFonts w:ascii="Century Gothic" w:hAnsi="Century Gothic" w:eastAsia="Century Gothic" w:cs="Century Gothic"/>
          <w:b/>
          <w:bCs/>
          <w:color w:val="BE0036"/>
          <w:sz w:val="18"/>
          <w:szCs w:val="18"/>
          <w:lang w:val="it-IT"/>
        </w:rPr>
        <w:t xml:space="preserve">1.</w:t>
      </w:r>
      <w:r>
        <w:tab/>
      </w:r>
      <w:r>
        <w:rPr>
          <w:rFonts w:ascii="Century Gothic" w:hAnsi="Century Gothic" w:eastAsia="Century Gothic" w:cs="Century Gothic"/>
          <w:color w:val="303232"/>
          <w:sz w:val="18"/>
          <w:szCs w:val="18"/>
          <w:lang w:val="it-IT"/>
        </w:rPr>
        <w:t xml:space="preserve">Aprire </w:t>
      </w:r>
      <w:r>
        <w:rPr>
          <w:rFonts w:ascii="Consolas" w:hAnsi="Consolas" w:eastAsia="Consolas" w:cs="Consolas"/>
          <w:color w:val="303232"/>
          <w:sz w:val="17"/>
          <w:szCs w:val="17"/>
          <w:lang w:val="it-IT"/>
        </w:rPr>
        <w:t xml:space="preserve">report.md</w:t>
      </w:r>
      <w:r>
        <w:rPr>
          <w:rFonts w:ascii="Century Gothic" w:hAnsi="Century Gothic" w:eastAsia="Century Gothic" w:cs="Century Gothic"/>
          <w:color w:val="303232"/>
          <w:sz w:val="18"/>
          <w:szCs w:val="18"/>
          <w:lang w:val="it-IT"/>
        </w:rPr>
        <w:t xml:space="preserve"> e verificare che tutti i controlli siano superati; leggere la sezione sulla procedura, che segue la entry source del journey.</w:t>
      </w:r>
    </w:p>
    <w:p>
      <w:pPr>
        <w:tabs>
          <w:tab w:val="left" w:pos="567"/>
        </w:tabs>
        <w:spacing w:before="0" w:after="80" w:line="288" w:lineRule="auto"/>
        <w:ind w:left="567" w:hanging="567"/>
        <w:jc w:val="both"/>
      </w:pPr>
      <w:r>
        <w:rPr>
          <w:rFonts w:ascii="Century Gothic" w:hAnsi="Century Gothic" w:eastAsia="Century Gothic" w:cs="Century Gothic"/>
          <w:b/>
          <w:bCs/>
          <w:color w:val="BE0036"/>
          <w:sz w:val="18"/>
          <w:szCs w:val="18"/>
          <w:lang w:val="it-IT"/>
        </w:rPr>
        <w:t xml:space="preserve">2.</w:t>
      </w:r>
      <w:r>
        <w:tab/>
      </w:r>
      <w:r>
        <w:rPr>
          <w:rFonts w:ascii="Century Gothic" w:hAnsi="Century Gothic" w:eastAsia="Century Gothic" w:cs="Century Gothic"/>
          <w:color w:val="303232"/>
          <w:sz w:val="18"/>
          <w:szCs w:val="18"/>
          <w:lang w:val="it-IT"/>
        </w:rPr>
        <w:t xml:space="preserve">Importare i CSV: prima quelli delle tabelle collegate, per ultimo quello di ingresso. Se il report indica una scadenza di attivazione, importare i file e attivare il journey entro quell'ora.</w:t>
      </w:r>
    </w:p>
    <w:p>
      <w:pPr>
        <w:tabs>
          <w:tab w:val="left" w:pos="567"/>
        </w:tabs>
        <w:spacing w:before="0" w:after="80" w:line="288" w:lineRule="auto"/>
        <w:ind w:left="567" w:hanging="567"/>
        <w:jc w:val="both"/>
      </w:pPr>
      <w:r>
        <w:rPr>
          <w:rFonts w:ascii="Century Gothic" w:hAnsi="Century Gothic" w:eastAsia="Century Gothic" w:cs="Century Gothic"/>
          <w:b/>
          <w:bCs/>
          <w:color w:val="BE0036"/>
          <w:sz w:val="18"/>
          <w:szCs w:val="18"/>
          <w:lang w:val="it-IT"/>
        </w:rPr>
        <w:t xml:space="preserve">3.</w:t>
      </w:r>
      <w:r>
        <w:tab/>
      </w:r>
      <w:r>
        <w:rPr>
          <w:rFonts w:ascii="Century Gothic" w:hAnsi="Century Gothic" w:eastAsia="Century Gothic" w:cs="Century Gothic"/>
          <w:color w:val="303232"/>
          <w:sz w:val="18"/>
          <w:szCs w:val="18"/>
          <w:lang w:val="it-IT"/>
        </w:rPr>
        <w:t xml:space="preserve">Eseguire gli scenari nell'ordine indicato; quando il report lo richiede, uno alla volta, impostando a True il campo di attivazione sulla riga dello scenario e a False su tutte le altre.</w:t>
      </w:r>
    </w:p>
    <w:p>
      <w:pPr>
        <w:tabs>
          <w:tab w:val="left" w:pos="567"/>
        </w:tabs>
        <w:spacing w:before="0" w:after="80" w:line="288" w:lineRule="auto"/>
        <w:ind w:left="567" w:hanging="567"/>
        <w:jc w:val="both"/>
      </w:pPr>
      <w:r>
        <w:rPr>
          <w:rFonts w:ascii="Century Gothic" w:hAnsi="Century Gothic" w:eastAsia="Century Gothic" w:cs="Century Gothic"/>
          <w:b/>
          <w:bCs/>
          <w:color w:val="BE0036"/>
          <w:sz w:val="18"/>
          <w:szCs w:val="18"/>
          <w:lang w:val="it-IT"/>
        </w:rPr>
        <w:t xml:space="preserve">4.</w:t>
      </w:r>
      <w:r>
        <w:tab/>
      </w:r>
      <w:r>
        <w:rPr>
          <w:rFonts w:ascii="Century Gothic" w:hAnsi="Century Gothic" w:eastAsia="Century Gothic" w:cs="Century Gothic"/>
          <w:color w:val="303232"/>
          <w:sz w:val="18"/>
          <w:szCs w:val="18"/>
          <w:lang w:val="it-IT"/>
        </w:rPr>
        <w:t xml:space="preserve">Non modificare né reimportare le righe di uno scenario finché i suoi contatti non sono usciti dal journey: gli split leggono i dati nel momento in cui il contatto li raggiunge.</w:t>
      </w:r>
    </w:p>
    <w:p>
      <w:pPr>
        <w:tabs>
          <w:tab w:val="left" w:pos="567"/>
        </w:tabs>
        <w:spacing w:before="0" w:after="80" w:line="288" w:lineRule="auto"/>
        <w:ind w:left="567" w:hanging="567"/>
        <w:jc w:val="both"/>
      </w:pPr>
      <w:r>
        <w:rPr>
          <w:rFonts w:ascii="Century Gothic" w:hAnsi="Century Gothic" w:eastAsia="Century Gothic" w:cs="Century Gothic"/>
          <w:b/>
          <w:bCs/>
          <w:color w:val="BE0036"/>
          <w:sz w:val="18"/>
          <w:szCs w:val="18"/>
          <w:lang w:val="it-IT"/>
        </w:rPr>
        <w:t xml:space="preserve">5.</w:t>
      </w:r>
      <w:r>
        <w:tab/>
      </w:r>
      <w:r>
        <w:rPr>
          <w:rFonts w:ascii="Century Gothic" w:hAnsi="Century Gothic" w:eastAsia="Century Gothic" w:cs="Century Gothic"/>
          <w:color w:val="303232"/>
          <w:sz w:val="18"/>
          <w:szCs w:val="18"/>
          <w:lang w:val="it-IT"/>
        </w:rPr>
        <w:t xml:space="preserve">Seguire il testbook riga per riga, eseguire le azioni manuali entro le scadenze e confrontare le evidenze con il risultato atteso.</w:t>
      </w:r>
    </w:p>
    <w:p>
      <w:pPr>
        <w:tabs>
          <w:tab w:val="left" w:pos="567"/>
        </w:tabs>
        <w:spacing w:before="0" w:after="160" w:line="288" w:lineRule="auto"/>
        <w:ind w:left="567" w:hanging="567"/>
        <w:jc w:val="both"/>
      </w:pPr>
      <w:r>
        <w:rPr>
          <w:rFonts w:ascii="Century Gothic" w:hAnsi="Century Gothic" w:eastAsia="Century Gothic" w:cs="Century Gothic"/>
          <w:b/>
          <w:bCs/>
          <w:color w:val="BE0036"/>
          <w:sz w:val="18"/>
          <w:szCs w:val="18"/>
          <w:lang w:val="it-IT"/>
        </w:rPr>
        <w:t xml:space="preserve">6.</w:t>
      </w:r>
      <w:r>
        <w:tab/>
      </w:r>
      <w:r>
        <w:rPr>
          <w:rFonts w:ascii="Century Gothic" w:hAnsi="Century Gothic" w:eastAsia="Century Gothic" w:cs="Century Gothic"/>
          <w:color w:val="303232"/>
          <w:sz w:val="18"/>
          <w:szCs w:val="18"/>
          <w:lang w:val="it-IT"/>
        </w:rPr>
        <w:t xml:space="preserve">Per una nuova generazione usare un nuovo run identifier.</w:t>
      </w:r>
    </w:p>
    <w:p>
      <w:pPr>
        <w:keepNext/>
        <w:keepLines/>
        <w:spacing w:before="280" w:after="100" w:line="264" w:lineRule="auto"/>
        <w:jc w:val="left"/>
        <w:outlineLvl w:val="1"/>
      </w:pPr>
      <w:bookmarkStart w:id="49" w:name="_Toc100049"/>
      <w:r>
        <w:rPr>
          <w:rFonts w:ascii="Century Gothic" w:hAnsi="Century Gothic" w:eastAsia="Century Gothic" w:cs="Century Gothic"/>
          <w:b/>
          <w:bCs/>
          <w:color w:val="303232"/>
          <w:sz w:val="22"/>
          <w:szCs w:val="22"/>
          <w:lang w:val="it-IT"/>
        </w:rPr>
        <w:t xml:space="preserve">9.4  La procedura secondo la entry source</w:t>
      </w:r>
      <w:bookmarkEnd w:id="49"/>
    </w:p>
    <w:p>
      <w:pPr>
        <w:keepNext/>
        <w:spacing w:before="120" w:after="80" w:line="288" w:lineRule="auto"/>
        <w:jc w:val="left"/>
      </w:pPr>
      <w:r>
        <w:rPr>
          <w:rFonts w:ascii="Century Gothic" w:hAnsi="Century Gothic" w:eastAsia="Century Gothic" w:cs="Century Gothic"/>
          <w:i/>
          <w:iCs/>
          <w:color w:val="7F7F7F"/>
          <w:sz w:val="15"/>
          <w:szCs w:val="15"/>
          <w:lang w:val="it-IT"/>
        </w:rPr>
        <w:t xml:space="preserve">Tabella 13. La procedura di ingresso per tipo di entry source.</w:t>
      </w:r>
    </w:p>
    <w:tbl>
      <w:tblPr>
        <w:tblW w:w="9638" w:type="dxa"/>
        <w:jc w:val="left"/>
        <w:tblBorders>
          <w:top w:val="single" w:sz="6" w:space="0" w:color="BE0036"/>
          <w:left w:val="nil"/>
          <w:bottom w:val="single" w:sz="6" w:space="0" w:color="BFBFBF"/>
          <w:right w:val="nil"/>
          <w:insideH w:val="single" w:sz="4" w:space="0" w:color="D9D9D9"/>
          <w:insideV w:val="nil"/>
        </w:tblBorders>
        <w:tblLayout w:type="fixed"/>
        <w:tblCellMar>
          <w:top w:w="70" w:type="dxa"/>
          <w:left w:w="100" w:type="dxa"/>
          <w:bottom w:w="70" w:type="dxa"/>
          <w:right w:w="100" w:type="dxa"/>
        </w:tblCellMar>
        <w:tblLook w:val="04A0" w:firstRow="1" w:lastRow="0" w:firstColumn="0" w:lastColumn="0" w:noHBand="0" w:noVBand="1"/>
      </w:tblPr>
      <w:tblGrid>
        <w:gridCol w:w="3000"/>
        <w:gridCol w:w="6638"/>
      </w:tblGrid>
      <w:tr>
        <w:trPr>
          <w:cantSplit/>
          <w:tblHeader/>
        </w:trPr>
        <w:tc>
          <w:tcPr>
            <w:tcW w:w="30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Entry source</w:t>
            </w:r>
          </w:p>
        </w:tc>
        <w:tc>
          <w:tcPr>
            <w:tcW w:w="6638"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Procedura descritta nel report e nel testbook</w:t>
            </w:r>
          </w:p>
        </w:tc>
      </w:tr>
      <w:tr>
        <w:trPr>
          <w:cantSplit/>
        </w:trPr>
        <w:tc>
          <w:tcPr>
            <w:tcW w:w="30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Data extension alimentata da un'automation</w:t>
            </w:r>
          </w:p>
        </w:tc>
        <w:tc>
          <w:tcPr>
            <w:tcW w:w="66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Import diretto dei CSV; uno scenario alla volta quando la entry query filtra su un campo di attivazione.</w:t>
            </w:r>
          </w:p>
        </w:tc>
      </w:tr>
      <w:tr>
        <w:trPr>
          <w:cantSplit/>
        </w:trPr>
        <w:tc>
          <w:tcPr>
            <w:tcW w:w="30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Data extension «Run Once»</w:t>
            </w:r>
          </w:p>
        </w:tc>
        <w:tc>
          <w:tcPr>
            <w:tcW w:w="66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Importare tutti i CSV, poi attivare il journey: entrano solo le righe presenti all'attivazione. Tutti gli scenari entrano insieme; un nuovo tentativo richiede una nuova versione del journey e un nuovo run identifier.</w:t>
            </w:r>
          </w:p>
        </w:tc>
      </w:tr>
      <w:tr>
        <w:trPr>
          <w:cantSplit/>
        </w:trPr>
        <w:tc>
          <w:tcPr>
            <w:tcW w:w="30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Data extension con pianificazione ricorrente</w:t>
            </w:r>
          </w:p>
        </w:tc>
        <w:tc>
          <w:tcPr>
            <w:tcW w:w="66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 contatti dovrebbero entrare alla valutazione successiva della data extension; il report la indica come procedura da verificare.</w:t>
            </w:r>
          </w:p>
        </w:tc>
      </w:tr>
      <w:tr>
        <w:trPr>
          <w:cantSplit/>
        </w:trPr>
        <w:tc>
          <w:tcPr>
            <w:tcW w:w="30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Form CloudPages, API event o altro</w:t>
            </w:r>
          </w:p>
        </w:tc>
        <w:tc>
          <w:tcPr>
            <w:tcW w:w="66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Il test si esegue su una copia del journey la cui entry source è una data extension con le stesse colonne; il CSV di ingresso è destinato a quella data extension.</w:t>
            </w:r>
          </w:p>
        </w:tc>
      </w:tr>
    </w:tbl>
    <w:p>
      <w:pPr>
        <w:spacing w:before="0" w:after="160" w:line="120" w:lineRule="exact"/>
        <w:jc w:val="both"/>
      </w:pPr>
    </w:p>
    <w:p>
      <w:pPr>
        <w:spacing w:before="0" w:after="160" w:line="288" w:lineRule="auto"/>
        <w:jc w:val="both"/>
      </w:pPr>
      <w:r>
        <w:rPr>
          <w:rFonts w:ascii="Century Gothic" w:hAnsi="Century Gothic" w:eastAsia="Century Gothic" w:cs="Century Gothic"/>
          <w:color w:val="303232"/>
          <w:sz w:val="18"/>
          <w:szCs w:val="18"/>
          <w:lang w:val="it-IT"/>
        </w:rPr>
        <w:t xml:space="preserve">Con le modalità di ingresso che impediscono il rientro (</w:t>
      </w:r>
      <w:r>
        <w:rPr>
          <w:rFonts w:ascii="Consolas" w:hAnsi="Consolas" w:eastAsia="Consolas" w:cs="Consolas"/>
          <w:color w:val="303232"/>
          <w:sz w:val="17"/>
          <w:szCs w:val="17"/>
          <w:lang w:val="it-IT"/>
        </w:rPr>
        <w:t xml:space="preserve">OnceAndDone</w:t>
      </w:r>
      <w:r>
        <w:rPr>
          <w:rFonts w:ascii="Century Gothic" w:hAnsi="Century Gothic" w:eastAsia="Century Gothic" w:cs="Century Gothic"/>
          <w:color w:val="303232"/>
          <w:sz w:val="18"/>
          <w:szCs w:val="18"/>
          <w:lang w:val="it-IT"/>
        </w:rPr>
        <w:t xml:space="preserve">, </w:t>
      </w:r>
      <w:r>
        <w:rPr>
          <w:rFonts w:ascii="Consolas" w:hAnsi="Consolas" w:eastAsia="Consolas" w:cs="Consolas"/>
          <w:color w:val="303232"/>
          <w:sz w:val="17"/>
          <w:szCs w:val="17"/>
          <w:lang w:val="it-IT"/>
        </w:rPr>
        <w:t xml:space="preserve">SingleEntryAcrossAllVersions</w:t>
      </w:r>
      <w:r>
        <w:rPr>
          <w:rFonts w:ascii="Century Gothic" w:hAnsi="Century Gothic" w:eastAsia="Century Gothic" w:cs="Century Gothic"/>
          <w:color w:val="303232"/>
          <w:sz w:val="18"/>
          <w:szCs w:val="18"/>
          <w:lang w:val="it-IT"/>
        </w:rPr>
        <w:t xml:space="preserve">) ogni tentativo richiede un nuovo run identifier. Una data extension sincronizzata dal CRM si importa come le altre; il report ricorda che le sue righe arriveranno anche dalla sincronizzazione.</w:t>
      </w:r>
    </w:p>
    <w:p>
      <w:pPr>
        <w:keepNext/>
        <w:keepLines/>
        <w:spacing w:before="600" w:after="200" w:line="264" w:lineRule="auto"/>
        <w:jc w:val="left"/>
        <w:outlineLvl w:val="0"/>
      </w:pPr>
      <w:bookmarkStart w:id="50" w:name="_Toc100050"/>
      <w:r>
        <w:rPr>
          <w:rFonts w:ascii="Century Gothic" w:hAnsi="Century Gothic" w:eastAsia="Century Gothic" w:cs="Century Gothic"/>
          <w:b/>
          <w:bCs/>
          <w:color w:val="BE0036"/>
          <w:sz w:val="30"/>
          <w:szCs w:val="30"/>
          <w:lang w:val="it-IT"/>
        </w:rPr>
        <w:t xml:space="preserve">10  Assunzioni sul comportamento della piattaforma</w:t>
      </w:r>
      <w:bookmarkEnd w:id="50"/>
    </w:p>
    <w:p>
      <w:pPr>
        <w:spacing w:before="0" w:after="160" w:line="288" w:lineRule="auto"/>
        <w:jc w:val="both"/>
      </w:pPr>
      <w:r>
        <w:rPr>
          <w:rFonts w:ascii="Century Gothic" w:hAnsi="Century Gothic" w:eastAsia="Century Gothic" w:cs="Century Gothic"/>
          <w:color w:val="303232"/>
          <w:sz w:val="18"/>
          <w:szCs w:val="18"/>
          <w:lang w:val="it-IT"/>
        </w:rPr>
        <w:t xml:space="preserve">I risultati attesi dipendono da come Salesforce valuta condizioni, wait e import. Alcuni comportamenti sono documentati o confermati dalla pratica del team; altri sono assunzioni ragionevoli, che lo strumento rende visibili invece di nasconderle nel codice. Il report di ogni generazione elenca soltanto le assunzioni che quel journey attiva.</w:t>
      </w:r>
    </w:p>
    <w:p>
      <w:pPr>
        <w:keepNext/>
        <w:keepLines/>
        <w:spacing w:before="280" w:after="100" w:line="264" w:lineRule="auto"/>
        <w:jc w:val="left"/>
        <w:outlineLvl w:val="1"/>
      </w:pPr>
      <w:bookmarkStart w:id="51" w:name="_Toc100051"/>
      <w:r>
        <w:rPr>
          <w:rFonts w:ascii="Century Gothic" w:hAnsi="Century Gothic" w:eastAsia="Century Gothic" w:cs="Century Gothic"/>
          <w:b/>
          <w:bCs/>
          <w:color w:val="303232"/>
          <w:sz w:val="22"/>
          <w:szCs w:val="22"/>
          <w:lang w:val="it-IT"/>
        </w:rPr>
        <w:t xml:space="preserve">10.1  Fatti documentati o confermati</w:t>
      </w:r>
      <w:bookmarkEnd w:id="51"/>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I criteri di uscita vengono valutati per ogni contatto alla scadenza di ciascun wait; i goal prima dei criteri di uscita.</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Una condizione su una data relativa a oggi espressa in giorni, settimane, mesi o anni confronta il giorno, non l'ora.</w:t>
      </w:r>
    </w:p>
    <w:p>
      <w:pPr>
        <w:pStyle w:val="Paragrafoelenco"/>
        <w:numPr>
          <w:ilvl w:val="0"/>
          <w:numId w:val="37"/>
        </w:numPr>
        <w:spacing w:before="0" w:after="60" w:line="288" w:lineRule="auto"/>
        <w:ind w:left="567" w:hanging="283"/>
        <w:contextualSpacing w:val="0"/>
        <w:jc w:val="both"/>
      </w:pPr>
      <w:r>
        <w:rPr>
          <w:rFonts w:ascii="Consolas" w:hAnsi="Consolas" w:eastAsia="Consolas" w:cs="Consolas"/>
          <w:color w:val="303232"/>
          <w:sz w:val="17"/>
          <w:szCs w:val="17"/>
          <w:lang w:val="it-IT"/>
        </w:rPr>
        <w:t xml:space="preserve">Between</w:t>
      </w:r>
      <w:r>
        <w:rPr>
          <w:rFonts w:ascii="Century Gothic" w:hAnsi="Century Gothic" w:eastAsia="Century Gothic" w:cs="Century Gothic"/>
          <w:color w:val="303232"/>
          <w:sz w:val="18"/>
          <w:szCs w:val="18"/>
          <w:lang w:val="it-IT"/>
        </w:rPr>
        <w:t xml:space="preserve"> include entrambi gli estremi.</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Una cella vuota nel CSV viene importata come null.</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Una riga assente si legge come null: </w:t>
      </w:r>
      <w:r>
        <w:rPr>
          <w:rFonts w:ascii="Consolas" w:hAnsi="Consolas" w:eastAsia="Consolas" w:cs="Consolas"/>
          <w:color w:val="303232"/>
          <w:sz w:val="17"/>
          <w:szCs w:val="17"/>
          <w:lang w:val="it-IT"/>
        </w:rPr>
        <w:t xml:space="preserve">IsNull</w:t>
      </w:r>
      <w:r>
        <w:rPr>
          <w:rFonts w:ascii="Century Gothic" w:hAnsi="Century Gothic" w:eastAsia="Century Gothic" w:cs="Century Gothic"/>
          <w:color w:val="303232"/>
          <w:sz w:val="18"/>
          <w:szCs w:val="18"/>
          <w:lang w:val="it-IT"/>
        </w:rPr>
        <w:t xml:space="preserve"> su un suo campo è vero.</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Con una entry source «Run Once» entrano solo le righe presenti all'attivazione.</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Un journey con entry source diversa da una data extension si testa su una copia con entry source data extension.</w:t>
      </w:r>
    </w:p>
    <w:p>
      <w:pPr>
        <w:pStyle w:val="Paragrafoelenco"/>
        <w:numPr>
          <w:ilvl w:val="0"/>
          <w:numId w:val="37"/>
        </w:numPr>
        <w:spacing w:before="0" w:after="160" w:line="288" w:lineRule="auto"/>
        <w:ind w:left="567" w:hanging="283"/>
        <w:contextualSpacing w:val="0"/>
        <w:jc w:val="both"/>
      </w:pPr>
      <w:r>
        <w:rPr>
          <w:rFonts w:ascii="Century Gothic" w:hAnsi="Century Gothic" w:eastAsia="Century Gothic" w:cs="Century Gothic"/>
          <w:color w:val="303232"/>
          <w:sz w:val="18"/>
          <w:szCs w:val="18"/>
          <w:lang w:val="it-IT"/>
        </w:rPr>
        <w:t xml:space="preserve">Una data extension sincronizzata dal CRM, se il journey la usa, si importa come le altre.</w:t>
      </w:r>
    </w:p>
    <w:p>
      <w:pPr>
        <w:keepNext/>
        <w:keepLines/>
        <w:spacing w:before="280" w:after="100" w:line="264" w:lineRule="auto"/>
        <w:jc w:val="left"/>
        <w:outlineLvl w:val="1"/>
      </w:pPr>
      <w:bookmarkStart w:id="52" w:name="_Toc100052"/>
      <w:r>
        <w:rPr>
          <w:rFonts w:ascii="Century Gothic" w:hAnsi="Century Gothic" w:eastAsia="Century Gothic" w:cs="Century Gothic"/>
          <w:b/>
          <w:bCs/>
          <w:color w:val="303232"/>
          <w:sz w:val="22"/>
          <w:szCs w:val="22"/>
          <w:lang w:val="it-IT"/>
        </w:rPr>
        <w:t xml:space="preserve">10.2  Assunzioni da verificare</w:t>
      </w:r>
      <w:bookmarkEnd w:id="52"/>
    </w:p>
    <w:p>
      <w:pPr>
        <w:keepNext/>
        <w:spacing w:before="120" w:after="80" w:line="288" w:lineRule="auto"/>
        <w:jc w:val="left"/>
      </w:pPr>
      <w:r>
        <w:rPr>
          <w:rFonts w:ascii="Century Gothic" w:hAnsi="Century Gothic" w:eastAsia="Century Gothic" w:cs="Century Gothic"/>
          <w:i/>
          <w:iCs/>
          <w:color w:val="7F7F7F"/>
          <w:sz w:val="15"/>
          <w:szCs w:val="15"/>
          <w:lang w:val="it-IT"/>
        </w:rPr>
        <w:t xml:space="preserve">Tabella 14. Le principali assunzioni da verificare con un'esecuzione reale.</w:t>
      </w:r>
    </w:p>
    <w:tbl>
      <w:tblPr>
        <w:tblW w:w="9638" w:type="dxa"/>
        <w:jc w:val="left"/>
        <w:tblBorders>
          <w:top w:val="single" w:sz="6" w:space="0" w:color="BE0036"/>
          <w:left w:val="nil"/>
          <w:bottom w:val="single" w:sz="6" w:space="0" w:color="BFBFBF"/>
          <w:right w:val="nil"/>
          <w:insideH w:val="single" w:sz="4" w:space="0" w:color="D9D9D9"/>
          <w:insideV w:val="nil"/>
        </w:tblBorders>
        <w:tblLayout w:type="fixed"/>
        <w:tblCellMar>
          <w:top w:w="70" w:type="dxa"/>
          <w:left w:w="100" w:type="dxa"/>
          <w:bottom w:w="70" w:type="dxa"/>
          <w:right w:w="100" w:type="dxa"/>
        </w:tblCellMar>
        <w:tblLook w:val="04A0" w:firstRow="1" w:lastRow="0" w:firstColumn="0" w:lastColumn="0" w:noHBand="0" w:noVBand="1"/>
      </w:tblPr>
      <w:tblGrid>
        <w:gridCol w:w="4300"/>
        <w:gridCol w:w="5338"/>
      </w:tblGrid>
      <w:tr>
        <w:trPr>
          <w:cantSplit/>
          <w:tblHeader/>
        </w:trPr>
        <w:tc>
          <w:tcPr>
            <w:tcW w:w="43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Assunzione</w:t>
            </w:r>
          </w:p>
        </w:tc>
        <w:tc>
          <w:tcPr>
            <w:tcW w:w="5338"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Effetto se non fosse vera</w:t>
            </w:r>
          </w:p>
        </w:tc>
      </w:tr>
      <w:tr>
        <w:trPr>
          <w:cantSplit/>
        </w:trPr>
        <w:tc>
          <w:tcPr>
            <w:tcW w:w="4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Gli esiti di un decision split vengono provati in ordine e vince il primo vero.</w:t>
            </w:r>
          </w:p>
        </w:tc>
        <w:tc>
          <w:tcPr>
            <w:tcW w:w="5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Cambierebbero i percorsi dei contatti che soddisfano più condizioni.</w:t>
            </w:r>
          </w:p>
        </w:tc>
      </w:tr>
      <w:tr>
        <w:trPr>
          <w:cantSplit/>
        </w:trPr>
        <w:tc>
          <w:tcPr>
            <w:tcW w:w="4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 confronti di testo distinguono maiuscole e minuscole (impostazione modificabile).</w:t>
            </w:r>
          </w:p>
        </w:tc>
        <w:tc>
          <w:tcPr>
            <w:tcW w:w="5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Branch dichiarati non raggiungibili diventerebbero raggiungibili, e viceversa.</w:t>
            </w:r>
          </w:p>
        </w:tc>
      </w:tr>
      <w:tr>
        <w:trPr>
          <w:cantSplit/>
        </w:trPr>
        <w:tc>
          <w:tcPr>
            <w:tcW w:w="4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Un wait by attribute con data passata o vuota lascia proseguire subito.</w:t>
            </w:r>
          </w:p>
        </w:tc>
        <w:tc>
          <w:tcPr>
            <w:tcW w:w="5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 contatti resterebbero in attesa e le durate del testbook sarebbero più lunghe.</w:t>
            </w:r>
          </w:p>
        </w:tc>
      </w:tr>
      <w:tr>
        <w:trPr>
          <w:cantSplit/>
        </w:trPr>
        <w:tc>
          <w:tcPr>
            <w:tcW w:w="4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Un engagement split viene valutato quando il contatto lo raggiunge.</w:t>
            </w:r>
          </w:p>
        </w:tc>
        <w:tc>
          <w:tcPr>
            <w:tcW w:w="5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Le scadenze delle azioni manuali cambierebbero.</w:t>
            </w:r>
          </w:p>
        </w:tc>
      </w:tr>
      <w:tr>
        <w:trPr>
          <w:cantSplit/>
        </w:trPr>
        <w:tc>
          <w:tcPr>
            <w:tcW w:w="4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Le date dei wait si leggono nel fuso orario del wait senza conversioni.</w:t>
            </w:r>
          </w:p>
        </w:tc>
        <w:tc>
          <w:tcPr>
            <w:tcW w:w="5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Le scadenze potrebbero spostarsi di qualche ora.</w:t>
            </w:r>
          </w:p>
        </w:tc>
      </w:tr>
      <w:tr>
        <w:trPr>
          <w:cantSplit/>
        </w:trPr>
        <w:tc>
          <w:tcPr>
            <w:tcW w:w="4300" w:type="dxa"/>
            <w:shd w:val="clear" w:color="auto" w:fill="F6F6F6"/>
            <w:vAlign w:val="top"/>
          </w:tcPr>
          <w:p>
            <w:pPr>
              <w:spacing w:before="0" w:after="0" w:line="264" w:lineRule="auto"/>
              <w:jc w:val="left"/>
            </w:pPr>
            <w:r>
              <w:rPr>
                <w:rFonts w:ascii="Consolas" w:hAnsi="Consolas" w:eastAsia="Consolas" w:cs="Consolas"/>
                <w:color w:val="303232"/>
                <w:sz w:val="15"/>
                <w:szCs w:val="15"/>
                <w:lang w:val="it-IT"/>
              </w:rPr>
              <w:t xml:space="preserve">IsNot</w:t>
            </w:r>
            <w:r>
              <w:rPr>
                <w:rFonts w:ascii="Century Gothic" w:hAnsi="Century Gothic" w:eastAsia="Century Gothic" w:cs="Century Gothic"/>
                <w:color w:val="303232"/>
                <w:sz w:val="16"/>
                <w:szCs w:val="16"/>
                <w:lang w:val="it-IT"/>
              </w:rPr>
              <w:t xml:space="preserve"> è vero anche su un valore vuoto.</w:t>
            </w:r>
          </w:p>
        </w:tc>
        <w:tc>
          <w:tcPr>
            <w:tcW w:w="5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Cambierebbe il percorso dei contatti con quel campo vuoto.</w:t>
            </w:r>
          </w:p>
        </w:tc>
      </w:tr>
      <w:tr>
        <w:trPr>
          <w:cantSplit/>
        </w:trPr>
        <w:tc>
          <w:tcPr>
            <w:tcW w:w="4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Un'entry source alimentata da un'automation accoglie i contatti importati direttamente.</w:t>
            </w:r>
          </w:p>
        </w:tc>
        <w:tc>
          <w:tcPr>
            <w:tcW w:w="53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Servirebbe eseguire il passo di ingresso dell'automation.</w:t>
            </w:r>
          </w:p>
        </w:tc>
      </w:tr>
      <w:tr>
        <w:trPr>
          <w:cantSplit/>
        </w:trPr>
        <w:tc>
          <w:tcPr>
            <w:tcW w:w="4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Un offset in mesi segue il calendario.</w:t>
            </w:r>
          </w:p>
        </w:tc>
        <w:tc>
          <w:tcPr>
            <w:tcW w:w="53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Le date vicine alla fine del mese potrebbero cadere un giorno prima o dopo.</w:t>
            </w:r>
          </w:p>
        </w:tc>
      </w:tr>
    </w:tbl>
    <w:p>
      <w:pPr>
        <w:spacing w:before="0" w:after="160" w:line="120" w:lineRule="exact"/>
        <w:jc w:val="both"/>
      </w:pPr>
    </w:p>
    <w:p>
      <w:pPr>
        <w:spacing w:before="0" w:after="160" w:line="288" w:lineRule="auto"/>
        <w:jc w:val="both"/>
      </w:pPr>
      <w:r>
        <w:rPr>
          <w:rFonts w:ascii="Century Gothic" w:hAnsi="Century Gothic" w:eastAsia="Century Gothic" w:cs="Century Gothic"/>
          <w:color w:val="303232"/>
          <w:sz w:val="18"/>
          <w:szCs w:val="18"/>
          <w:lang w:val="it-IT"/>
        </w:rPr>
        <w:t xml:space="preserve">Ogni assunzione si verifica una volta, con una piccola esecuzione reale, e da quel momento diventa un fatto. L'elenco completo, con le fonti consultate e il modo di verificare ciascuna, è mantenuto insieme allo strumento.</w:t>
      </w:r>
    </w:p>
    <w:p>
      <w:pPr>
        <w:keepNext/>
        <w:keepLines/>
        <w:spacing w:before="600" w:after="200" w:line="264" w:lineRule="auto"/>
        <w:jc w:val="left"/>
        <w:outlineLvl w:val="0"/>
      </w:pPr>
      <w:bookmarkStart w:id="53" w:name="_Toc100053"/>
      <w:r>
        <w:rPr>
          <w:rFonts w:ascii="Century Gothic" w:hAnsi="Century Gothic" w:eastAsia="Century Gothic" w:cs="Century Gothic"/>
          <w:b/>
          <w:bCs/>
          <w:color w:val="BE0036"/>
          <w:sz w:val="30"/>
          <w:szCs w:val="30"/>
          <w:lang w:val="it-IT"/>
        </w:rPr>
        <w:t xml:space="preserve">11  Limiti</w:t>
      </w:r>
      <w:bookmarkEnd w:id="53"/>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La copertura riguarda i branch, non i percorsi: ogni branch viene attraversato almeno una volta, non ogni combinazione di branch.</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I random split sono coperti in modo statistico, mai con certezza.</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I filtri di ingresso definiti nell'interfaccia e non esportati non sono visibili; i goal vengono letti e segnalati ma non valutati.</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Le espressioni SQL complesse nella entry query vengono segnalate e non riprodotte: i dati sono pensati per l'import diretto dei CSV, senza eseguire l'automation.</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Il contenuto delle email e la personalizzazione non vengono testati: lo strumento verifica l'instradamento dei contatti.</w:t>
      </w:r>
    </w:p>
    <w:p>
      <w:pPr>
        <w:pStyle w:val="Paragrafoelenco"/>
        <w:numPr>
          <w:ilvl w:val="0"/>
          <w:numId w:val="37"/>
        </w:numPr>
        <w:spacing w:before="0" w:after="160" w:line="288" w:lineRule="auto"/>
        <w:ind w:left="567" w:hanging="283"/>
        <w:contextualSpacing w:val="0"/>
        <w:jc w:val="both"/>
      </w:pPr>
      <w:r>
        <w:rPr>
          <w:rFonts w:ascii="Century Gothic" w:hAnsi="Century Gothic" w:eastAsia="Century Gothic" w:cs="Century Gothic"/>
          <w:color w:val="303232"/>
          <w:sz w:val="18"/>
          <w:szCs w:val="18"/>
          <w:lang w:val="it-IT"/>
        </w:rPr>
        <w:t xml:space="preserve">La scelta dei casi è greedy: sui journey in cui il minimo è stato calcolato, il numero di casi lo supera di uno o due, senza effetti sulla copertura.</w:t>
      </w:r>
    </w:p>
    <w:p>
      <w:pPr>
        <w:keepNext/>
        <w:keepLines/>
        <w:spacing w:before="600" w:after="200" w:line="264" w:lineRule="auto"/>
        <w:jc w:val="left"/>
        <w:outlineLvl w:val="0"/>
      </w:pPr>
      <w:bookmarkStart w:id="54" w:name="_Toc100054"/>
      <w:r>
        <w:rPr>
          <w:rFonts w:ascii="Century Gothic" w:hAnsi="Century Gothic" w:eastAsia="Century Gothic" w:cs="Century Gothic"/>
          <w:b/>
          <w:bCs/>
          <w:color w:val="BE0036"/>
          <w:sz w:val="30"/>
          <w:szCs w:val="30"/>
          <w:lang w:val="it-IT"/>
        </w:rPr>
        <w:t xml:space="preserve">12  Validazione</w:t>
      </w:r>
      <w:bookmarkEnd w:id="54"/>
    </w:p>
    <w:p>
      <w:pPr>
        <w:spacing w:before="0" w:after="160" w:line="288" w:lineRule="auto"/>
        <w:jc w:val="both"/>
      </w:pPr>
      <w:r>
        <w:rPr>
          <w:rFonts w:ascii="Century Gothic" w:hAnsi="Century Gothic" w:eastAsia="Century Gothic" w:cs="Century Gothic"/>
          <w:color w:val="303232"/>
          <w:sz w:val="18"/>
          <w:szCs w:val="18"/>
          <w:lang w:val="it-IT"/>
        </w:rPr>
        <w:t xml:space="preserve">Lo strumento è stato validato su due insiemi di journey. Il primo comprende undici journey realistici, ispirati a casi d'uso ricorrenti nel marketing automation (campagne ad hoc, retention, prevenzione del churn, upsell, gestione dei consensi) e costruiti in due famiglie con strutture, modelli dati e convenzioni diverse; i nomi riportati qui ne descrivono lo scopo. Il secondo comprende 79 journey sintetici, ciascuno costruito per isolare un costrutto alla volta. Per ciascun journey sintetico la risposta attesa è stata derivata a mano dalle regole, prima di eseguire lo strumento; per cinque dei journey realistici la risposta attesa è stata derivata dalle stesse regole, in modo indipendente dallo strumento.</w:t>
      </w:r>
    </w:p>
    <w:p>
      <w:pPr>
        <w:keepNext/>
        <w:spacing w:before="120" w:after="80" w:line="288" w:lineRule="auto"/>
        <w:jc w:val="left"/>
      </w:pPr>
      <w:r>
        <w:rPr>
          <w:rFonts w:ascii="Century Gothic" w:hAnsi="Century Gothic" w:eastAsia="Century Gothic" w:cs="Century Gothic"/>
          <w:i/>
          <w:iCs/>
          <w:color w:val="7F7F7F"/>
          <w:sz w:val="15"/>
          <w:szCs w:val="15"/>
          <w:lang w:val="it-IT"/>
        </w:rPr>
        <w:t xml:space="preserve">Tabella 15. I risultati sui journey realistici.</w:t>
      </w:r>
    </w:p>
    <w:tbl>
      <w:tblPr>
        <w:tblW w:w="9638" w:type="dxa"/>
        <w:jc w:val="left"/>
        <w:tblBorders>
          <w:top w:val="single" w:sz="6" w:space="0" w:color="BE0036"/>
          <w:left w:val="nil"/>
          <w:bottom w:val="single" w:sz="6" w:space="0" w:color="BFBFBF"/>
          <w:right w:val="nil"/>
          <w:insideH w:val="single" w:sz="4" w:space="0" w:color="D9D9D9"/>
          <w:insideV w:val="nil"/>
        </w:tblBorders>
        <w:tblLayout w:type="fixed"/>
        <w:tblCellMar>
          <w:top w:w="70" w:type="dxa"/>
          <w:left w:w="100" w:type="dxa"/>
          <w:bottom w:w="70" w:type="dxa"/>
          <w:right w:w="100" w:type="dxa"/>
        </w:tblCellMar>
        <w:tblLook w:val="04A0" w:firstRow="1" w:lastRow="0" w:firstColumn="0" w:lastColumn="0" w:noHBand="0" w:noVBand="1"/>
      </w:tblPr>
      <w:tblGrid>
        <w:gridCol w:w="3300"/>
        <w:gridCol w:w="1150"/>
        <w:gridCol w:w="2300"/>
        <w:gridCol w:w="2888"/>
      </w:tblGrid>
      <w:tr>
        <w:trPr>
          <w:cantSplit/>
          <w:tblHeader/>
        </w:trPr>
        <w:tc>
          <w:tcPr>
            <w:tcW w:w="33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Journey</w:t>
            </w:r>
          </w:p>
        </w:tc>
        <w:tc>
          <w:tcPr>
            <w:tcW w:w="115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Attività</w:t>
            </w:r>
          </w:p>
        </w:tc>
        <w:tc>
          <w:tcPr>
            <w:tcW w:w="23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Scenari / casi / contatti</w:t>
            </w:r>
          </w:p>
        </w:tc>
        <w:tc>
          <w:tcPr>
            <w:tcW w:w="2888"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Branch coperti / non coperti</w:t>
            </w:r>
          </w:p>
        </w:tc>
      </w:tr>
      <w:tr>
        <w:trPr>
          <w:cantSplit/>
        </w:trPr>
        <w:tc>
          <w:tcPr>
            <w:tcW w:w="3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Riferimento, campagne ad hoc</w:t>
            </w:r>
          </w:p>
        </w:tc>
        <w:tc>
          <w:tcPr>
            <w:tcW w:w="115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178</w:t>
            </w:r>
          </w:p>
        </w:tc>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23 / 33 / 146</w:t>
            </w:r>
          </w:p>
        </w:tc>
        <w:tc>
          <w:tcPr>
            <w:tcW w:w="288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122 (2 manuali) / 137</w:t>
            </w:r>
          </w:p>
        </w:tc>
      </w:tr>
      <w:tr>
        <w:trPr>
          <w:cantSplit/>
        </w:trPr>
        <w:tc>
          <w:tcPr>
            <w:tcW w:w="3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Retention, scadenza a 2 settimane</w:t>
            </w:r>
          </w:p>
        </w:tc>
        <w:tc>
          <w:tcPr>
            <w:tcW w:w="115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24</w:t>
            </w:r>
          </w:p>
        </w:tc>
        <w:tc>
          <w:tcPr>
            <w:tcW w:w="2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3 / 8 / 24</w:t>
            </w:r>
          </w:p>
        </w:tc>
        <w:tc>
          <w:tcPr>
            <w:tcW w:w="288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21 / 0</w:t>
            </w:r>
          </w:p>
        </w:tc>
      </w:tr>
      <w:tr>
        <w:trPr>
          <w:cantSplit/>
        </w:trPr>
        <w:tc>
          <w:tcPr>
            <w:tcW w:w="3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Retention, scadenza a 3 mesi</w:t>
            </w:r>
          </w:p>
        </w:tc>
        <w:tc>
          <w:tcPr>
            <w:tcW w:w="115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26</w:t>
            </w:r>
          </w:p>
        </w:tc>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3 / 11 / 33</w:t>
            </w:r>
          </w:p>
        </w:tc>
        <w:tc>
          <w:tcPr>
            <w:tcW w:w="288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29 (9 manuali) / 1</w:t>
            </w:r>
          </w:p>
        </w:tc>
      </w:tr>
      <w:tr>
        <w:trPr>
          <w:cantSplit/>
        </w:trPr>
        <w:tc>
          <w:tcPr>
            <w:tcW w:w="3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Retention, scadenza a 4 settimane</w:t>
            </w:r>
          </w:p>
        </w:tc>
        <w:tc>
          <w:tcPr>
            <w:tcW w:w="115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44</w:t>
            </w:r>
          </w:p>
        </w:tc>
        <w:tc>
          <w:tcPr>
            <w:tcW w:w="2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1 / 3 / 9</w:t>
            </w:r>
          </w:p>
        </w:tc>
        <w:tc>
          <w:tcPr>
            <w:tcW w:w="288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6 / 35</w:t>
            </w:r>
          </w:p>
        </w:tc>
      </w:tr>
      <w:tr>
        <w:trPr>
          <w:cantSplit/>
        </w:trPr>
        <w:tc>
          <w:tcPr>
            <w:tcW w:w="3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Retention, scadenza a 6 settimane</w:t>
            </w:r>
          </w:p>
        </w:tc>
        <w:tc>
          <w:tcPr>
            <w:tcW w:w="115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31</w:t>
            </w:r>
          </w:p>
        </w:tc>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3 / 11 / 33</w:t>
            </w:r>
          </w:p>
        </w:tc>
        <w:tc>
          <w:tcPr>
            <w:tcW w:w="288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35 (3 manuali) / 1</w:t>
            </w:r>
          </w:p>
        </w:tc>
      </w:tr>
      <w:tr>
        <w:trPr>
          <w:cantSplit/>
        </w:trPr>
        <w:tc>
          <w:tcPr>
            <w:tcW w:w="3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Retention, scadenza a 5 giorni</w:t>
            </w:r>
          </w:p>
        </w:tc>
        <w:tc>
          <w:tcPr>
            <w:tcW w:w="115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41</w:t>
            </w:r>
          </w:p>
        </w:tc>
        <w:tc>
          <w:tcPr>
            <w:tcW w:w="2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3 / 13 / 39</w:t>
            </w:r>
          </w:p>
        </w:tc>
        <w:tc>
          <w:tcPr>
            <w:tcW w:w="288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41 / 1</w:t>
            </w:r>
          </w:p>
        </w:tc>
      </w:tr>
      <w:tr>
        <w:trPr>
          <w:cantSplit/>
        </w:trPr>
        <w:tc>
          <w:tcPr>
            <w:tcW w:w="3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Retention, disdetta recente</w:t>
            </w:r>
          </w:p>
        </w:tc>
        <w:tc>
          <w:tcPr>
            <w:tcW w:w="115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18</w:t>
            </w:r>
          </w:p>
        </w:tc>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3 / 9 / 27</w:t>
            </w:r>
          </w:p>
        </w:tc>
        <w:tc>
          <w:tcPr>
            <w:tcW w:w="288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19 (3 manuali) / 1</w:t>
            </w:r>
          </w:p>
        </w:tc>
      </w:tr>
      <w:tr>
        <w:trPr>
          <w:cantSplit/>
        </w:trPr>
        <w:tc>
          <w:tcPr>
            <w:tcW w:w="3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Prevenzione del churn</w:t>
            </w:r>
          </w:p>
        </w:tc>
        <w:tc>
          <w:tcPr>
            <w:tcW w:w="115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34</w:t>
            </w:r>
          </w:p>
        </w:tc>
        <w:tc>
          <w:tcPr>
            <w:tcW w:w="2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1 / 12 / 36</w:t>
            </w:r>
          </w:p>
        </w:tc>
        <w:tc>
          <w:tcPr>
            <w:tcW w:w="288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21 (4 manuali) / 0</w:t>
            </w:r>
          </w:p>
        </w:tc>
      </w:tr>
      <w:tr>
        <w:trPr>
          <w:cantSplit/>
        </w:trPr>
        <w:tc>
          <w:tcPr>
            <w:tcW w:w="3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Upsell</w:t>
            </w:r>
          </w:p>
        </w:tc>
        <w:tc>
          <w:tcPr>
            <w:tcW w:w="115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9</w:t>
            </w:r>
          </w:p>
        </w:tc>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1 / 4 / 12</w:t>
            </w:r>
          </w:p>
        </w:tc>
        <w:tc>
          <w:tcPr>
            <w:tcW w:w="288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7 / 2</w:t>
            </w:r>
          </w:p>
        </w:tc>
      </w:tr>
      <w:tr>
        <w:trPr>
          <w:cantSplit/>
        </w:trPr>
        <w:tc>
          <w:tcPr>
            <w:tcW w:w="3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Conferma dell'upsell</w:t>
            </w:r>
          </w:p>
        </w:tc>
        <w:tc>
          <w:tcPr>
            <w:tcW w:w="115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5</w:t>
            </w:r>
          </w:p>
        </w:tc>
        <w:tc>
          <w:tcPr>
            <w:tcW w:w="23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1 / 2 / 6</w:t>
            </w:r>
          </w:p>
        </w:tc>
        <w:tc>
          <w:tcPr>
            <w:tcW w:w="288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3 / 1</w:t>
            </w:r>
          </w:p>
        </w:tc>
      </w:tr>
      <w:tr>
        <w:trPr>
          <w:cantSplit/>
        </w:trPr>
        <w:tc>
          <w:tcPr>
            <w:tcW w:w="3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Registro dei consensi</w:t>
            </w:r>
          </w:p>
        </w:tc>
        <w:tc>
          <w:tcPr>
            <w:tcW w:w="115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4</w:t>
            </w:r>
          </w:p>
        </w:tc>
        <w:tc>
          <w:tcPr>
            <w:tcW w:w="23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1 / 1 / 3</w:t>
            </w:r>
          </w:p>
        </w:tc>
        <w:tc>
          <w:tcPr>
            <w:tcW w:w="288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0 / 2</w:t>
            </w:r>
          </w:p>
        </w:tc>
      </w:tr>
    </w:tbl>
    <w:p>
      <w:pPr>
        <w:spacing w:before="0" w:after="160" w:line="120" w:lineRule="exact"/>
        <w:jc w:val="both"/>
      </w:pPr>
    </w:p>
    <w:p>
      <w:pPr>
        <w:spacing w:before="0" w:after="160" w:line="288" w:lineRule="auto"/>
        <w:jc w:val="both"/>
      </w:pPr>
      <w:r>
        <w:rPr>
          <w:rFonts w:ascii="Century Gothic" w:hAnsi="Century Gothic" w:eastAsia="Century Gothic" w:cs="Century Gothic"/>
          <w:color w:val="303232"/>
          <w:sz w:val="18"/>
          <w:szCs w:val="18"/>
          <w:lang w:val="it-IT"/>
        </w:rPr>
        <w:t xml:space="preserve">Su tutti i journey i sette controlli sono superati. Dove esisteva una risposta derivata a mano, lo stato dei branch coincide con quello prodotto dallo strumento; le sole differenze riguardano due branch che lo strumento copre con un percorso più semplice, senza l'azione manuale prevista dalla derivazione. I branch non coperti hanno sempre un motivo, e in diversi casi il motivo è un'anomalia di configurazione presente nel journey, del tipo che capita di incontrare nei progetti, che lo strumento porta alla luce:</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nel journey a 4 settimane un criterio di uscita controlla che la data di scadenza </w:t>
      </w:r>
      <w:r>
        <w:rPr>
          <w:rFonts w:ascii="Century Gothic" w:hAnsi="Century Gothic" w:eastAsia="Century Gothic" w:cs="Century Gothic"/>
          <w:b/>
          <w:bCs/>
          <w:color w:val="303232"/>
          <w:sz w:val="18"/>
          <w:szCs w:val="18"/>
          <w:lang w:val="it-IT"/>
        </w:rPr>
        <w:t xml:space="preserve">non</w:t>
      </w:r>
      <w:r>
        <w:rPr>
          <w:rFonts w:ascii="Century Gothic" w:hAnsi="Century Gothic" w:eastAsia="Century Gothic" w:cs="Century Gothic"/>
          <w:color w:val="303232"/>
          <w:sz w:val="18"/>
          <w:szCs w:val="18"/>
          <w:lang w:val="it-IT"/>
        </w:rPr>
        <w:t xml:space="preserve"> sia vuota, al contrario degli altri journey della stessa famiglia: ogni contatto accettato dagli split esce al primo wait e 35 branch su 41 diventano irraggiungibili;</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nel journey di riferimento gli stessi campi di canale sono confrontati in alcuni split con «Email» e in altri con «EMAIL»: con confronti che distinguono le maiuscole, i due branch che richiedono «EMAIL» non sono mai raggiungibili, e con essi i 134 branch a valle;</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in più journey la entry query copia </w:t>
      </w:r>
      <w:r>
        <w:rPr>
          <w:rFonts w:ascii="Consolas" w:hAnsi="Consolas" w:eastAsia="Consolas" w:cs="Consolas"/>
          <w:color w:val="303232"/>
          <w:sz w:val="17"/>
          <w:szCs w:val="17"/>
          <w:lang w:val="it-IT"/>
        </w:rPr>
        <w:t xml:space="preserve">Phone</w:t>
      </w:r>
      <w:r>
        <w:rPr>
          <w:rFonts w:ascii="Century Gothic" w:hAnsi="Century Gothic" w:eastAsia="Century Gothic" w:cs="Century Gothic"/>
          <w:color w:val="303232"/>
          <w:sz w:val="18"/>
          <w:szCs w:val="18"/>
          <w:lang w:val="it-IT"/>
        </w:rPr>
        <w:t xml:space="preserve"> in </w:t>
      </w:r>
      <w:r>
        <w:rPr>
          <w:rFonts w:ascii="Consolas" w:hAnsi="Consolas" w:eastAsia="Consolas" w:cs="Consolas"/>
          <w:color w:val="303232"/>
          <w:sz w:val="17"/>
          <w:szCs w:val="17"/>
          <w:lang w:val="it-IT"/>
        </w:rPr>
        <w:t xml:space="preserve">MobilePhone</w:t>
      </w:r>
      <w:r>
        <w:rPr>
          <w:rFonts w:ascii="Century Gothic" w:hAnsi="Century Gothic" w:eastAsia="Century Gothic" w:cs="Century Gothic"/>
          <w:color w:val="303232"/>
          <w:sz w:val="18"/>
          <w:szCs w:val="18"/>
          <w:lang w:val="it-IT"/>
        </w:rPr>
        <w:t xml:space="preserve"> e </w:t>
      </w:r>
      <w:r>
        <w:rPr>
          <w:rFonts w:ascii="Consolas" w:hAnsi="Consolas" w:eastAsia="Consolas" w:cs="Consolas"/>
          <w:color w:val="303232"/>
          <w:sz w:val="17"/>
          <w:szCs w:val="17"/>
          <w:lang w:val="it-IT"/>
        </w:rPr>
        <w:t xml:space="preserve">MobilePhone</w:t>
      </w:r>
      <w:r>
        <w:rPr>
          <w:rFonts w:ascii="Century Gothic" w:hAnsi="Century Gothic" w:eastAsia="Century Gothic" w:cs="Century Gothic"/>
          <w:color w:val="303232"/>
          <w:sz w:val="18"/>
          <w:szCs w:val="18"/>
          <w:lang w:val="it-IT"/>
        </w:rPr>
        <w:t xml:space="preserve"> in </w:t>
      </w:r>
      <w:r>
        <w:rPr>
          <w:rFonts w:ascii="Consolas" w:hAnsi="Consolas" w:eastAsia="Consolas" w:cs="Consolas"/>
          <w:color w:val="303232"/>
          <w:sz w:val="17"/>
          <w:szCs w:val="17"/>
          <w:lang w:val="it-IT"/>
        </w:rPr>
        <w:t xml:space="preserve">Phone</w:t>
      </w:r>
      <w:r>
        <w:rPr>
          <w:rFonts w:ascii="Century Gothic" w:hAnsi="Century Gothic" w:eastAsia="Century Gothic" w:cs="Century Gothic"/>
          <w:color w:val="303232"/>
          <w:sz w:val="18"/>
          <w:szCs w:val="18"/>
          <w:lang w:val="it-IT"/>
        </w:rPr>
        <w:t xml:space="preserve">, scambiando i due numeri;</w:t>
      </w:r>
    </w:p>
    <w:p>
      <w:pPr>
        <w:pStyle w:val="Paragrafoelenco"/>
        <w:numPr>
          <w:ilvl w:val="0"/>
          <w:numId w:val="37"/>
        </w:numPr>
        <w:spacing w:before="0" w:after="60" w:line="288" w:lineRule="auto"/>
        <w:ind w:left="567" w:hanging="283"/>
        <w:contextualSpacing w:val="0"/>
        <w:jc w:val="both"/>
      </w:pPr>
      <w:r>
        <w:rPr>
          <w:rFonts w:ascii="Century Gothic" w:hAnsi="Century Gothic" w:eastAsia="Century Gothic" w:cs="Century Gothic"/>
          <w:color w:val="303232"/>
          <w:sz w:val="18"/>
          <w:szCs w:val="18"/>
          <w:lang w:val="it-IT"/>
        </w:rPr>
        <w:t xml:space="preserve">split con lo stesso nome verificano condizioni diverse, e uno split ripetuto senza che nulla cambi i campi letti ha un remainder irraggiungibile;</w:t>
      </w:r>
    </w:p>
    <w:p>
      <w:pPr>
        <w:pStyle w:val="Paragrafoelenco"/>
        <w:numPr>
          <w:ilvl w:val="0"/>
          <w:numId w:val="37"/>
        </w:numPr>
        <w:spacing w:before="0" w:after="160" w:line="288" w:lineRule="auto"/>
        <w:ind w:left="567" w:hanging="283"/>
        <w:contextualSpacing w:val="0"/>
        <w:jc w:val="both"/>
      </w:pPr>
      <w:r>
        <w:rPr>
          <w:rFonts w:ascii="Century Gothic" w:hAnsi="Century Gothic" w:eastAsia="Century Gothic" w:cs="Century Gothic"/>
          <w:color w:val="303232"/>
          <w:sz w:val="18"/>
          <w:szCs w:val="18"/>
          <w:lang w:val="it-IT"/>
        </w:rPr>
        <w:t xml:space="preserve">nel registro dei consensi lo split legge una tabella priva di relazioni nell'export, e lo strumento lo segnala invece di generare dati che non verrebbero letti.</w:t>
      </w:r>
    </w:p>
    <w:p>
      <w:pPr>
        <w:spacing w:before="0" w:after="160" w:line="288" w:lineRule="auto"/>
        <w:jc w:val="both"/>
      </w:pPr>
      <w:r>
        <w:rPr>
          <w:rFonts w:ascii="Century Gothic" w:hAnsi="Century Gothic" w:eastAsia="Century Gothic" w:cs="Century Gothic"/>
          <w:color w:val="303232"/>
          <w:sz w:val="18"/>
          <w:szCs w:val="18"/>
          <w:lang w:val="it-IT"/>
        </w:rPr>
        <w:t xml:space="preserve">A questi risultati si aggiungono circa mille test unitari sui singoli moduli e la verifica che due esecuzioni con lo stesso input producano file identici byte per byte.</w:t>
      </w:r>
    </w:p>
    <w:p>
      <w:pPr>
        <w:keepNext/>
        <w:keepLines/>
        <w:spacing w:before="600" w:after="200" w:line="264" w:lineRule="auto"/>
        <w:jc w:val="left"/>
        <w:outlineLvl w:val="0"/>
      </w:pPr>
      <w:bookmarkStart w:id="55" w:name="_Toc100055"/>
      <w:r>
        <w:rPr>
          <w:rFonts w:ascii="Century Gothic" w:hAnsi="Century Gothic" w:eastAsia="Century Gothic" w:cs="Century Gothic"/>
          <w:b/>
          <w:bCs/>
          <w:color w:val="BE0036"/>
          <w:sz w:val="30"/>
          <w:szCs w:val="30"/>
          <w:lang w:val="it-IT"/>
        </w:rPr>
        <w:t xml:space="preserve">13  Predisposizione per le integrazioni</w:t>
      </w:r>
      <w:bookmarkEnd w:id="55"/>
    </w:p>
    <w:p>
      <w:pPr>
        <w:spacing w:before="0" w:after="160" w:line="288" w:lineRule="auto"/>
        <w:jc w:val="both"/>
      </w:pPr>
      <w:r>
        <w:rPr>
          <w:rFonts w:ascii="Century Gothic" w:hAnsi="Century Gothic" w:eastAsia="Century Gothic" w:cs="Century Gothic"/>
          <w:color w:val="303232"/>
          <w:sz w:val="18"/>
          <w:szCs w:val="18"/>
          <w:lang w:val="it-IT"/>
        </w:rPr>
        <w:t xml:space="preserve">L'architettura separa la lettura della struttura del journey da tutto ciò che segue, e descrive i risultati attesi per singolo contatto. Queste due proprietà rendono diretto l'innesto delle integrazioni con l'ambiente Salesforce.</w:t>
      </w:r>
    </w:p>
    <w:p>
      <w:pPr>
        <w:keepNext/>
        <w:keepLines/>
        <w:spacing w:before="280" w:after="100" w:line="264" w:lineRule="auto"/>
        <w:jc w:val="left"/>
        <w:outlineLvl w:val="1"/>
      </w:pPr>
      <w:bookmarkStart w:id="56" w:name="_Toc100056"/>
      <w:r>
        <w:rPr>
          <w:rFonts w:ascii="Century Gothic" w:hAnsi="Century Gothic" w:eastAsia="Century Gothic" w:cs="Century Gothic"/>
          <w:b/>
          <w:bCs/>
          <w:color w:val="303232"/>
          <w:sz w:val="22"/>
          <w:szCs w:val="22"/>
          <w:lang w:val="it-IT"/>
        </w:rPr>
        <w:t xml:space="preserve">13.1  Struttura del journey via API</w:t>
      </w:r>
      <w:bookmarkEnd w:id="56"/>
    </w:p>
    <w:p>
      <w:pPr>
        <w:spacing w:before="0" w:after="160" w:line="288" w:lineRule="auto"/>
        <w:jc w:val="both"/>
      </w:pPr>
      <w:r>
        <w:rPr>
          <w:rFonts w:ascii="Century Gothic" w:hAnsi="Century Gothic" w:eastAsia="Century Gothic" w:cs="Century Gothic"/>
          <w:color w:val="303232"/>
          <w:sz w:val="18"/>
          <w:szCs w:val="18"/>
          <w:lang w:val="it-IT"/>
        </w:rPr>
        <w:t xml:space="preserve">Tutti i moduli dopo la lettura lavorano sul modello dati condiviso, non sull'export. Una lettura basata sulle API di Journey Builder e di gestione delle data extension, nell'ambiente Ten, produce lo stesso modello a partire dalla definizione del journey, dalle entry source, dagli schemi e dalle relazioni di Contact Builder. Mappa delle data extension, derivazione dei casi, generazione dei dati e controlli restano invariati; l'export di Package Manager resta disponibile come alternativa e come riferimento per il confronto.</w:t>
      </w:r>
    </w:p>
    <w:p>
      <w:pPr>
        <w:keepNext/>
        <w:keepLines/>
        <w:spacing w:before="280" w:after="100" w:line="264" w:lineRule="auto"/>
        <w:jc w:val="left"/>
        <w:outlineLvl w:val="1"/>
      </w:pPr>
      <w:bookmarkStart w:id="57" w:name="_Toc100057"/>
      <w:r>
        <w:rPr>
          <w:rFonts w:ascii="Century Gothic" w:hAnsi="Century Gothic" w:eastAsia="Century Gothic" w:cs="Century Gothic"/>
          <w:b/>
          <w:bCs/>
          <w:color w:val="303232"/>
          <w:sz w:val="22"/>
          <w:szCs w:val="22"/>
          <w:lang w:val="it-IT"/>
        </w:rPr>
        <w:t xml:space="preserve">13.2  Evidenze confrontabili con il testbook</w:t>
      </w:r>
      <w:bookmarkEnd w:id="57"/>
    </w:p>
    <w:p>
      <w:pPr>
        <w:spacing w:before="0" w:after="160" w:line="288" w:lineRule="auto"/>
        <w:jc w:val="both"/>
      </w:pPr>
      <w:r>
        <w:rPr>
          <w:rFonts w:ascii="Century Gothic" w:hAnsi="Century Gothic" w:eastAsia="Century Gothic" w:cs="Century Gothic"/>
          <w:color w:val="303232"/>
          <w:sz w:val="18"/>
          <w:szCs w:val="18"/>
          <w:lang w:val="it-IT"/>
        </w:rPr>
        <w:t xml:space="preserve">Il testbook identifica ogni test con il caso e le chiavi dei suoi contatti, e per ogni contatto descrive il percorso atteso come sequenza di attività, email e SMS inviati, valori scritti e ultima attività raggiunta. Le evidenze raccolte dalla piattaforma dopo l'esecuzione (invii, aperture, click, avanzamento nel journey, righe scritte dagli update contact) si confrontano contatto per contatto con questi elementi. Il confronto può riusare il simulatore già impiegato dai controlli di affidabilità, che conosce l'ordine delle attività e le scadenze di ogni caso.</w:t>
      </w:r>
    </w:p>
    <w:p>
      <w:pPr>
        <w:keepNext/>
        <w:keepLines/>
        <w:spacing w:before="280" w:after="100" w:line="264" w:lineRule="auto"/>
        <w:jc w:val="left"/>
        <w:outlineLvl w:val="1"/>
      </w:pPr>
      <w:bookmarkStart w:id="58" w:name="_Toc100058"/>
      <w:r>
        <w:rPr>
          <w:rFonts w:ascii="Century Gothic" w:hAnsi="Century Gothic" w:eastAsia="Century Gothic" w:cs="Century Gothic"/>
          <w:b/>
          <w:bCs/>
          <w:color w:val="303232"/>
          <w:sz w:val="22"/>
          <w:szCs w:val="22"/>
          <w:lang w:val="it-IT"/>
        </w:rPr>
        <w:t xml:space="preserve">13.3  Uno standard riutilizzabile</w:t>
      </w:r>
      <w:bookmarkEnd w:id="58"/>
    </w:p>
    <w:p>
      <w:pPr>
        <w:spacing w:before="0" w:after="160" w:line="288" w:lineRule="auto"/>
        <w:jc w:val="both"/>
      </w:pPr>
      <w:r>
        <w:rPr>
          <w:rFonts w:ascii="Century Gothic" w:hAnsi="Century Gothic" w:eastAsia="Century Gothic" w:cs="Century Gothic"/>
          <w:color w:val="303232"/>
          <w:sz w:val="18"/>
          <w:szCs w:val="18"/>
          <w:lang w:val="it-IT"/>
        </w:rPr>
        <w:t xml:space="preserve">Il comportamento dello strumento è descritto da una specifica scritta, da journey sintetici con risposte derivate a mano e da una procedura per estenderlo a un nuovo journey: inventario dei costrutti dell'export, classificazione di quelli nuovi, estensione delle regole prima del codice, nuovi esempi, esecuzione sull'intero insieme di journey già validati. L'insieme di esempi e test è il criterio di accettazione di ogni modifica: un'estensione è accettata solo se tutti i journey già validati continuano a dare gli stessi risultati. Lo stesso criterio rende verificabile uno sviluppo periodico degli enhancement affidato a una routine automatica.</w:t>
      </w:r>
    </w:p>
    <w:p>
      <w:pPr>
        <w:keepNext/>
        <w:keepLines/>
        <w:spacing w:before="600" w:after="200" w:line="264" w:lineRule="auto"/>
        <w:jc w:val="left"/>
        <w:outlineLvl w:val="0"/>
      </w:pPr>
      <w:bookmarkStart w:id="59" w:name="_Toc100059"/>
      <w:r>
        <w:rPr>
          <w:rFonts w:ascii="Century Gothic" w:hAnsi="Century Gothic" w:eastAsia="Century Gothic" w:cs="Century Gothic"/>
          <w:b/>
          <w:bCs/>
          <w:color w:val="BE0036"/>
          <w:sz w:val="30"/>
          <w:szCs w:val="30"/>
          <w:lang w:val="it-IT"/>
        </w:rPr>
        <w:t xml:space="preserve">Glossario</w:t>
      </w:r>
      <w:bookmarkEnd w:id="59"/>
    </w:p>
    <w:tbl>
      <w:tblPr>
        <w:tblW w:w="9638" w:type="dxa"/>
        <w:jc w:val="left"/>
        <w:tblBorders>
          <w:top w:val="single" w:sz="6" w:space="0" w:color="BE0036"/>
          <w:left w:val="nil"/>
          <w:bottom w:val="single" w:sz="6" w:space="0" w:color="BFBFBF"/>
          <w:right w:val="nil"/>
          <w:insideH w:val="single" w:sz="4" w:space="0" w:color="D9D9D9"/>
          <w:insideV w:val="nil"/>
        </w:tblBorders>
        <w:tblLayout w:type="fixed"/>
        <w:tblCellMar>
          <w:top w:w="70" w:type="dxa"/>
          <w:left w:w="100" w:type="dxa"/>
          <w:bottom w:w="70" w:type="dxa"/>
          <w:right w:w="100" w:type="dxa"/>
        </w:tblCellMar>
        <w:tblLook w:val="04A0" w:firstRow="1" w:lastRow="0" w:firstColumn="0" w:lastColumn="0" w:noHBand="0" w:noVBand="1"/>
      </w:tblPr>
      <w:tblGrid>
        <w:gridCol w:w="2600"/>
        <w:gridCol w:w="7038"/>
      </w:tblGrid>
      <w:tr>
        <w:trPr>
          <w:cantSplit/>
          <w:tblHeader/>
        </w:trPr>
        <w:tc>
          <w:tcPr>
            <w:tcW w:w="2600"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Termine</w:t>
            </w:r>
          </w:p>
        </w:tc>
        <w:tc>
          <w:tcPr>
            <w:tcW w:w="7038" w:type="dxa"/>
            <w:shd w:val="clear" w:color="auto" w:fill="BE0036"/>
            <w:vAlign w:val="top"/>
          </w:tcPr>
          <w:p>
            <w:pPr>
              <w:spacing w:before="0" w:after="0" w:line="264" w:lineRule="auto"/>
              <w:jc w:val="left"/>
            </w:pPr>
            <w:r>
              <w:rPr>
                <w:rFonts w:ascii="Century Gothic" w:hAnsi="Century Gothic" w:eastAsia="Century Gothic" w:cs="Century Gothic"/>
                <w:b/>
                <w:bCs/>
                <w:color w:val="FFFFFF"/>
                <w:sz w:val="16"/>
                <w:szCs w:val="16"/>
                <w:lang w:val="it-IT"/>
              </w:rPr>
              <w:t xml:space="preserve">Definizione</w:t>
            </w:r>
          </w:p>
        </w:tc>
      </w:tr>
      <w:tr>
        <w:trPr>
          <w:cantSplit/>
        </w:trPr>
        <w:tc>
          <w:tcPr>
            <w:tcW w:w="26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Branch</w:t>
            </w:r>
          </w:p>
        </w:tc>
        <w:tc>
          <w:tcPr>
            <w:tcW w:w="70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Un esito di uno split: decision split, engagement split o random split.</w:t>
            </w:r>
          </w:p>
        </w:tc>
      </w:tr>
      <w:tr>
        <w:trPr>
          <w:cantSplit/>
        </w:trPr>
        <w:tc>
          <w:tcPr>
            <w:tcW w:w="26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Caso</w:t>
            </w:r>
          </w:p>
        </w:tc>
        <w:tc>
          <w:tcPr>
            <w:tcW w:w="70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Gruppo di contatti con gli stessi valori di contatto e le stesse azioni manuali, che seguono lo stesso percorso. Corrisponde a un test del testbook.</w:t>
            </w:r>
          </w:p>
        </w:tc>
      </w:tr>
      <w:tr>
        <w:trPr>
          <w:cantSplit/>
        </w:trPr>
        <w:tc>
          <w:tcPr>
            <w:tcW w:w="26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Contact Data</w:t>
            </w:r>
          </w:p>
        </w:tc>
        <w:tc>
          <w:tcPr>
            <w:tcW w:w="70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Dati letti quando il contatto raggiunge l'attività; vedono le modifiche degli update contact.</w:t>
            </w:r>
          </w:p>
        </w:tc>
      </w:tr>
      <w:tr>
        <w:trPr>
          <w:cantSplit/>
        </w:trPr>
        <w:tc>
          <w:tcPr>
            <w:tcW w:w="26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Criteri di uscita</w:t>
            </w:r>
          </w:p>
        </w:tc>
        <w:tc>
          <w:tcPr>
            <w:tcW w:w="70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Condizioni del journey valutate alla fine di ogni wait: chi le soddisfa esce dal journey.</w:t>
            </w:r>
          </w:p>
        </w:tc>
      </w:tr>
      <w:tr>
        <w:trPr>
          <w:cantSplit/>
        </w:trPr>
        <w:tc>
          <w:tcPr>
            <w:tcW w:w="26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Entry query</w:t>
            </w:r>
          </w:p>
        </w:tc>
        <w:tc>
          <w:tcPr>
            <w:tcW w:w="70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La query SQL che popola la tabella di ingresso del journey.</w:t>
            </w:r>
          </w:p>
        </w:tc>
      </w:tr>
      <w:tr>
        <w:trPr>
          <w:cantSplit/>
        </w:trPr>
        <w:tc>
          <w:tcPr>
            <w:tcW w:w="26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Journey Data</w:t>
            </w:r>
          </w:p>
        </w:tc>
        <w:tc>
          <w:tcPr>
            <w:tcW w:w="70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La fotografia della riga di ingresso al momento dell'ingresso; non cambia durante il percorso.</w:t>
            </w:r>
          </w:p>
        </w:tc>
      </w:tr>
      <w:tr>
        <w:trPr>
          <w:cantSplit/>
        </w:trPr>
        <w:tc>
          <w:tcPr>
            <w:tcW w:w="26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Livello contatto</w:t>
            </w:r>
          </w:p>
        </w:tc>
        <w:tc>
          <w:tcPr>
            <w:tcW w:w="70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Tabella con una riga per contatto, collegata sulla chiave del contatto.</w:t>
            </w:r>
          </w:p>
        </w:tc>
      </w:tr>
      <w:tr>
        <w:trPr>
          <w:cantSplit/>
        </w:trPr>
        <w:tc>
          <w:tcPr>
            <w:tcW w:w="26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Livello scenario</w:t>
            </w:r>
          </w:p>
        </w:tc>
        <w:tc>
          <w:tcPr>
            <w:tcW w:w="70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Tabella con righe condivise da più contatti, collegata su un altro campo.</w:t>
            </w:r>
          </w:p>
        </w:tc>
      </w:tr>
      <w:tr>
        <w:trPr>
          <w:cantSplit/>
        </w:trPr>
        <w:tc>
          <w:tcPr>
            <w:tcW w:w="26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Punto di taglio</w:t>
            </w:r>
          </w:p>
        </w:tc>
        <w:tc>
          <w:tcPr>
            <w:tcW w:w="70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Il giorno, contato dall'ingresso, in cui una condizione su una data relativa cambia esito.</w:t>
            </w:r>
          </w:p>
        </w:tc>
      </w:tr>
      <w:tr>
        <w:trPr>
          <w:cantSplit/>
        </w:trPr>
        <w:tc>
          <w:tcPr>
            <w:tcW w:w="26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Run identifier</w:t>
            </w:r>
          </w:p>
        </w:tc>
        <w:tc>
          <w:tcPr>
            <w:tcW w:w="70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Codice aggiunto a ogni chiave generata, diverso a ogni generazione.</w:t>
            </w:r>
          </w:p>
        </w:tc>
      </w:tr>
      <w:tr>
        <w:trPr>
          <w:cantSplit/>
        </w:trPr>
        <w:tc>
          <w:tcPr>
            <w:tcW w:w="26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Scadenza di attivazione</w:t>
            </w:r>
          </w:p>
        </w:tc>
        <w:tc>
          <w:tcPr>
            <w:tcW w:w="70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L'ora entro cui importare i file e attivare il journey perché i valori relativi a oggi restino validi.</w:t>
            </w:r>
          </w:p>
        </w:tc>
      </w:tr>
      <w:tr>
        <w:trPr>
          <w:cantSplit/>
        </w:trPr>
        <w:tc>
          <w:tcPr>
            <w:tcW w:w="2600"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Scenario</w:t>
            </w:r>
          </w:p>
        </w:tc>
        <w:tc>
          <w:tcPr>
            <w:tcW w:w="7038" w:type="dxa"/>
            <w:shd w:val="clear" w:color="auto" w:fill="F6F6F6"/>
            <w:vAlign w:val="top"/>
          </w:tcPr>
          <w:p>
            <w:pPr>
              <w:spacing w:before="0" w:after="0" w:line="264" w:lineRule="auto"/>
              <w:jc w:val="left"/>
            </w:pPr>
            <w:r>
              <w:rPr>
                <w:rFonts w:ascii="Century Gothic" w:hAnsi="Century Gothic" w:eastAsia="Century Gothic" w:cs="Century Gothic"/>
                <w:color w:val="303232"/>
                <w:sz w:val="16"/>
                <w:szCs w:val="16"/>
                <w:lang w:val="it-IT"/>
              </w:rPr>
              <w:t xml:space="preserve">Una combinazione di valori a livello di scenario, condivisa dai suoi contatti.</w:t>
            </w:r>
          </w:p>
        </w:tc>
      </w:tr>
      <w:tr>
        <w:trPr>
          <w:cantSplit/>
        </w:trPr>
        <w:tc>
          <w:tcPr>
            <w:tcW w:w="2600"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Tabella di collegamento</w:t>
            </w:r>
          </w:p>
        </w:tc>
        <w:tc>
          <w:tcPr>
            <w:tcW w:w="7038" w:type="dxa"/>
            <w:vAlign w:val="top"/>
          </w:tcPr>
          <w:p>
            <w:pPr>
              <w:spacing w:before="0" w:after="0" w:line="264" w:lineRule="auto"/>
              <w:jc w:val="left"/>
            </w:pPr>
            <w:r>
              <w:rPr>
                <w:rFonts w:ascii="Century Gothic" w:hAnsi="Century Gothic" w:eastAsia="Century Gothic" w:cs="Century Gothic"/>
                <w:color w:val="303232"/>
                <w:sz w:val="16"/>
                <w:szCs w:val="16"/>
                <w:lang w:val="it-IT"/>
              </w:rPr>
              <w:t xml:space="preserve">Data extension sul percorso tra il contatto e una tabella letta dal journey.</w:t>
            </w:r>
          </w:p>
        </w:tc>
      </w:tr>
    </w:tbl>
    <w:p>
      <w:pPr>
        <w:spacing w:before="0" w:after="160" w:line="120" w:lineRule="exact"/>
        <w:jc w:val="both"/>
      </w:pPr>
    </w:p>
    <w:sectPr w:rsidRPr="001C7ED8" w:rsidR="00ED44F8" w:rsidSect="00ED44F8">
      <w:headerReference w:type="default" r:id="rId11"/>
      <w:footerReference w:type="default" r:id="rId12"/>
      <w:headerReference w:type="first" r:id="rId13"/>
      <w:footerReference w:type="first" r:id="rId12"/>
      <w:pgSz w:w="11907" w:h="16840" w:orient="portrait" w:code="9"/>
      <w:pgMar w:top="1956" w:right="1134" w:bottom="1418" w:left="1134" w:header="709" w:footer="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5A2E" w:rsidRDefault="00035A2E" w14:paraId="53321037" w14:textId="77777777">
      <w:r>
        <w:separator/>
      </w:r>
    </w:p>
  </w:endnote>
  <w:endnote w:type="continuationSeparator" w:id="0">
    <w:p w:rsidR="00035A2E" w:rsidRDefault="00035A2E" w14:paraId="4D919B9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Times New Roman (Corpo CS)">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6D02DD" w:rsidR="004366E7" w:rsidP="00B65D09" w:rsidRDefault="22234BA7" w14:paraId="2A60930D" w14:textId="3ED4085C">
    <w:pPr>
      <w:pStyle w:val="Pidipagina"/>
      <w:ind w:left="-1134" w:right="-1134"/>
    </w:pPr>
    <w:r>
      <w:rPr>
        <w:noProof/>
      </w:rPr>
      <w:drawing>
        <wp:inline distT="0" distB="0" distL="0" distR="0" wp14:anchorId="79C9D8D5" wp14:editId="4E6B7208">
          <wp:extent cx="7506929" cy="1074669"/>
          <wp:effectExtent l="0" t="0" r="0" b="0"/>
          <wp:docPr id="505684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84076" name="drawing"/>
                  <pic:cNvPicPr/>
                </pic:nvPicPr>
                <pic:blipFill>
                  <a:blip r:embed="rId1">
                    <a:extLst>
                      <a:ext uri="{28A0092B-C50C-407E-A947-70E740481C1C}">
                        <a14:useLocalDpi xmlns:a14="http://schemas.microsoft.com/office/drawing/2010/main" val="0"/>
                      </a:ext>
                    </a:extLst>
                  </a:blip>
                  <a:stretch>
                    <a:fillRect/>
                  </a:stretch>
                </pic:blipFill>
                <pic:spPr>
                  <a:xfrm>
                    <a:off x="0" y="0"/>
                    <a:ext cx="7526451" cy="1077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5A2E" w:rsidRDefault="00035A2E" w14:paraId="6EEC47C9" w14:textId="77777777">
      <w:r>
        <w:separator/>
      </w:r>
    </w:p>
  </w:footnote>
  <w:footnote w:type="continuationSeparator" w:id="0">
    <w:p w:rsidR="00035A2E" w:rsidRDefault="00035A2E" w14:paraId="5E9C3D3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366E7" w:rsidP="00DE7270" w:rsidRDefault="004366E7" w14:paraId="6C41A580" w14:textId="4C27761F">
    <w:pPr>
      <w:pStyle w:val="Intestazione"/>
      <w:rPr>
        <w:sz w:val="14"/>
        <w:lang w:val="de-DE"/>
      </w:rPr>
    </w:pPr>
  </w:p>
  <w:p w:rsidRPr="00DE7270" w:rsidR="00B65D09" w:rsidP="00DE7270" w:rsidRDefault="00B65D09" w14:paraId="3118EDC3" w14:textId="7E04C40E">
    <w:pPr>
      <w:pStyle w:val="Intestazione"/>
      <w:tabs>
        <w:tab w:val="clear" w:pos="4819"/>
        <w:tab w:val="clear" w:pos="9638"/>
        <w:tab w:val="right" w:pos="9638"/>
      </w:tabs>
      <w:rPr>
        <w:sz w:val="14"/>
        <w:lang w:val="de-DE"/>
      </w:rPr>
    </w:pPr>
    <w:r>
      <w:rPr>
        <w:noProof/>
      </w:rPr>
      <w:drawing>
        <wp:inline distT="0" distB="0" distL="0" distR="0" wp14:anchorId="4B61995F" wp14:editId="7A45BBD5">
          <wp:extent cx="2540000" cy="431800"/>
          <wp:effectExtent l="0" t="0" r="0" b="0"/>
          <wp:docPr id="1936693199" name="Immagine 193669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1">
                    <a:extLst>
                      <a:ext uri="{28A0092B-C50C-407E-A947-70E740481C1C}">
                        <a14:useLocalDpi xmlns:a14="http://schemas.microsoft.com/office/drawing/2010/main" val="0"/>
                      </a:ext>
                    </a:extLst>
                  </a:blip>
                  <a:stretch>
                    <a:fillRect/>
                  </a:stretch>
                </pic:blipFill>
                <pic:spPr>
                  <a:xfrm>
                    <a:off x="0" y="0"/>
                    <a:ext cx="2540000" cy="431800"/>
                  </a:xfrm>
                  <a:prstGeom prst="rect">
                    <a:avLst/>
                  </a:prstGeom>
                </pic:spPr>
              </pic:pic>
            </a:graphicData>
          </a:graphic>
        </wp:inline>
      </w:drawing>
    </w:r>
    <w:r>
      <w:rPr>
        <w:rFonts w:ascii="Century Gothic" w:hAnsi="Century Gothic"/>
        <w:color w:val="7F7F7F"/>
        <w:sz w:val="16"/>
      </w:rPr>
      <w:tab/>
    </w:r>
    <w:r>
      <w:rPr>
        <w:rFonts w:ascii="Century Gothic" w:hAnsi="Century Gothic"/>
        <w:color w:val="7F7F7F"/>
        <w:sz w:val="16"/>
      </w:rPr>
      <w:fldChar w:fldCharType="begin"/>
    </w:r>
    <w:r>
      <w:rPr>
        <w:rFonts w:ascii="Century Gothic" w:hAnsi="Century Gothic"/>
        <w:color w:val="7F7F7F"/>
        <w:sz w:val="16"/>
      </w:rPr>
      <w:instrText xml:space="preserve"> PAGE </w:instrText>
    </w:r>
    <w:r>
      <w:rPr>
        <w:rFonts w:ascii="Century Gothic" w:hAnsi="Century Gothic"/>
        <w:color w:val="7F7F7F"/>
        <w:sz w:val="16"/>
      </w:rPr>
      <w:fldChar w:fldCharType="separate"/>
    </w:r>
    <w:r>
      <w:rPr>
        <w:rFonts w:ascii="Century Gothic" w:hAnsi="Century Gothic"/>
        <w:color w:val="7F7F7F"/>
        <w:sz w:val="16"/>
      </w:rPr>
      <w:t>1</w:t>
    </w:r>
    <w:r>
      <w:rPr>
        <w:rFonts w:ascii="Century Gothic" w:hAnsi="Century Gothic"/>
        <w:color w:val="7F7F7F"/>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366E7" w:rsidP="00DE7270" w:rsidRDefault="004366E7" w14:paraId="6C41A580" w14:textId="4C27761F">
    <w:pPr>
      <w:pStyle w:val="Intestazione"/>
      <w:rPr>
        <w:sz w:val="14"/>
        <w:lang w:val="de-DE"/>
      </w:rPr>
    </w:pPr>
  </w:p>
  <w:p w:rsidRPr="00DE7270" w:rsidR="00B65D09" w:rsidP="00DE7270" w:rsidRDefault="00B65D09" w14:paraId="3118EDC3" w14:textId="7E04C40E">
    <w:pPr>
      <w:pStyle w:val="Intestazione"/>
      <w:rPr>
        <w:sz w:val="14"/>
        <w:lang w:val="de-DE"/>
      </w:rPr>
    </w:pPr>
    <w:r>
      <w:rPr>
        <w:noProof/>
      </w:rPr>
      <w:drawing>
        <wp:inline distT="0" distB="0" distL="0" distR="0" wp14:anchorId="4B61995F" wp14:editId="7A45BBD5">
          <wp:extent cx="2540000" cy="431800"/>
          <wp:effectExtent l="0" t="0" r="0" b="0"/>
          <wp:docPr id="1936693199" name="Immagine 193669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1">
                    <a:extLst>
                      <a:ext uri="{28A0092B-C50C-407E-A947-70E740481C1C}">
                        <a14:useLocalDpi xmlns:a14="http://schemas.microsoft.com/office/drawing/2010/main" val="0"/>
                      </a:ext>
                    </a:extLst>
                  </a:blip>
                  <a:stretch>
                    <a:fillRect/>
                  </a:stretch>
                </pic:blipFill>
                <pic:spPr>
                  <a:xfrm>
                    <a:off x="0" y="0"/>
                    <a:ext cx="2540000" cy="431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1.25pt;height:11.25pt" o:bullet="t" type="#_x0000_t75">
        <v:imagedata o:title="mso24D" r:id="rId1"/>
      </v:shape>
    </w:pict>
  </w:numPicBullet>
  <w:abstractNum xmlns:w="http://schemas.openxmlformats.org/wordprocessingml/2006/main" w:abstractNumId="35">
    <w:nsid w:val="f4a68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97e237f"/>
    <w:multiLevelType xmlns:w="http://schemas.openxmlformats.org/wordprocessingml/2006/main" w:val="hybridMultilevel"/>
    <w:lvl xmlns:w="http://schemas.openxmlformats.org/wordprocessingml/2006/main" w:ilvl="0">
      <w:start w:val="14"/>
      <w:numFmt w:val="lowerLetter"/>
      <w:lvlText w:val="n"/>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452599"/>
    <w:multiLevelType w:val="hybridMultilevel"/>
    <w:tmpl w:val="2828E130"/>
    <w:lvl w:ilvl="0" w:tplc="05B428B6">
      <w:start w:val="1"/>
      <w:numFmt w:val="bullet"/>
      <w:lvlText w:val=""/>
      <w:lvlJc w:val="left"/>
      <w:pPr>
        <w:ind w:left="360" w:hanging="360"/>
      </w:pPr>
      <w:rPr>
        <w:rFonts w:hint="default" w:ascii="Wingdings" w:hAnsi="Wingdings"/>
        <w:color w:val="BE0036"/>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2" w15:restartNumberingAfterBreak="0">
    <w:nsid w:val="096774E2"/>
    <w:multiLevelType w:val="singleLevel"/>
    <w:tmpl w:val="9A0A1AE4"/>
    <w:lvl w:ilvl="0">
      <w:start w:val="2"/>
      <w:numFmt w:val="upperLetter"/>
      <w:lvlText w:val="%1. "/>
      <w:legacy w:legacy="1" w:legacySpace="0" w:legacyIndent="360"/>
      <w:lvlJc w:val="left"/>
      <w:pPr>
        <w:ind w:left="360" w:hanging="360"/>
      </w:pPr>
      <w:rPr>
        <w:rFonts w:hint="default" w:ascii="Times New Roman" w:hAnsi="Times New Roman"/>
        <w:b w:val="0"/>
        <w:i w:val="0"/>
        <w:sz w:val="22"/>
        <w:u w:val="none"/>
      </w:rPr>
    </w:lvl>
  </w:abstractNum>
  <w:abstractNum w:abstractNumId="3" w15:restartNumberingAfterBreak="0">
    <w:nsid w:val="14A82CDB"/>
    <w:multiLevelType w:val="hybridMultilevel"/>
    <w:tmpl w:val="D85A8CD4"/>
    <w:lvl w:ilvl="0" w:tplc="094CE410">
      <w:start w:val="1"/>
      <w:numFmt w:val="bullet"/>
      <w:pStyle w:val="elencopuntato"/>
      <w:lvlText w:val=""/>
      <w:lvlJc w:val="left"/>
      <w:pPr>
        <w:ind w:left="720" w:hanging="360"/>
      </w:pPr>
      <w:rPr>
        <w:rFonts w:hint="default" w:ascii="Wingdings" w:hAnsi="Wingdings"/>
        <w:color w:val="BE0036"/>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4" w15:restartNumberingAfterBreak="0">
    <w:nsid w:val="154534B7"/>
    <w:multiLevelType w:val="hybridMultilevel"/>
    <w:tmpl w:val="0F8A81F0"/>
    <w:lvl w:ilvl="0" w:tplc="2B6E70C2">
      <w:start w:val="1"/>
      <w:numFmt w:val="bullet"/>
      <w:lvlText w:val=""/>
      <w:lvlJc w:val="left"/>
      <w:pPr>
        <w:tabs>
          <w:tab w:val="num" w:pos="720"/>
        </w:tabs>
        <w:ind w:left="720" w:hanging="360"/>
      </w:pPr>
      <w:rPr>
        <w:rFonts w:hint="default" w:ascii="Wingdings" w:hAnsi="Wingdings"/>
        <w:sz w:val="16"/>
      </w:rPr>
    </w:lvl>
    <w:lvl w:ilvl="1" w:tplc="35068C28">
      <w:start w:val="1"/>
      <w:numFmt w:val="bullet"/>
      <w:lvlText w:val=""/>
      <w:lvlJc w:val="left"/>
      <w:pPr>
        <w:tabs>
          <w:tab w:val="num" w:pos="1443"/>
        </w:tabs>
        <w:ind w:left="1443" w:hanging="363"/>
      </w:pPr>
      <w:rPr>
        <w:rFonts w:hint="default" w:ascii="Wingdings" w:hAnsi="Wingdings"/>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A1B409A"/>
    <w:multiLevelType w:val="hybridMultilevel"/>
    <w:tmpl w:val="32B0FDE2"/>
    <w:lvl w:ilvl="0" w:tplc="04100005">
      <w:start w:val="1"/>
      <w:numFmt w:val="bullet"/>
      <w:lvlText w:val=""/>
      <w:lvlJc w:val="left"/>
      <w:pPr>
        <w:ind w:left="360" w:hanging="360"/>
      </w:pPr>
      <w:rPr>
        <w:rFonts w:hint="default" w:ascii="Wingdings" w:hAnsi="Wingdings"/>
        <w:color w:val="BE0036"/>
        <w:sz w:val="16"/>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6" w15:restartNumberingAfterBreak="0">
    <w:nsid w:val="1C9362DC"/>
    <w:multiLevelType w:val="hybridMultilevel"/>
    <w:tmpl w:val="8954E534"/>
    <w:lvl w:ilvl="0" w:tplc="79E2554A">
      <w:start w:val="5"/>
      <w:numFmt w:val="bullet"/>
      <w:lvlText w:val=""/>
      <w:lvlJc w:val="left"/>
      <w:pPr>
        <w:ind w:left="360" w:hanging="360"/>
      </w:pPr>
      <w:rPr>
        <w:rFonts w:hint="default" w:ascii="Wingdings" w:hAnsi="Wingdings" w:eastAsia="Times New Roman" w:cs="Times New Roman"/>
        <w:color w:val="auto"/>
      </w:rPr>
    </w:lvl>
    <w:lvl w:ilvl="1" w:tplc="36108930">
      <w:start w:val="5"/>
      <w:numFmt w:val="bullet"/>
      <w:lvlText w:val="-"/>
      <w:lvlJc w:val="left"/>
      <w:pPr>
        <w:ind w:left="1080" w:hanging="360"/>
      </w:pPr>
      <w:rPr>
        <w:rFonts w:hint="default" w:ascii="Verdana" w:hAnsi="Verdana" w:eastAsia="Times New Roman" w:cs="Times New Roman"/>
      </w:rPr>
    </w:lvl>
    <w:lvl w:ilvl="2" w:tplc="04100005">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7" w15:restartNumberingAfterBreak="0">
    <w:nsid w:val="1FEC5AE2"/>
    <w:multiLevelType w:val="hybridMultilevel"/>
    <w:tmpl w:val="CAD4DAC0"/>
    <w:lvl w:ilvl="0" w:tplc="04100007">
      <w:start w:val="1"/>
      <w:numFmt w:val="bullet"/>
      <w:lvlText w:val=""/>
      <w:lvlJc w:val="left"/>
      <w:pPr>
        <w:tabs>
          <w:tab w:val="num" w:pos="720"/>
        </w:tabs>
        <w:ind w:left="720" w:hanging="360"/>
      </w:pPr>
      <w:rPr>
        <w:rFonts w:hint="default" w:ascii="Wingdings" w:hAnsi="Wingdings"/>
        <w:sz w:val="16"/>
      </w:rPr>
    </w:lvl>
    <w:lvl w:ilvl="1" w:tplc="04100003" w:tentative="1">
      <w:start w:val="1"/>
      <w:numFmt w:val="bullet"/>
      <w:lvlText w:val="o"/>
      <w:lvlJc w:val="left"/>
      <w:pPr>
        <w:tabs>
          <w:tab w:val="num" w:pos="1440"/>
        </w:tabs>
        <w:ind w:left="1440" w:hanging="360"/>
      </w:pPr>
      <w:rPr>
        <w:rFonts w:hint="default" w:ascii="Courier New" w:hAnsi="Courier New"/>
      </w:rPr>
    </w:lvl>
    <w:lvl w:ilvl="2" w:tplc="04100005">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2251773"/>
    <w:multiLevelType w:val="hybridMultilevel"/>
    <w:tmpl w:val="A51253C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9" w15:restartNumberingAfterBreak="0">
    <w:nsid w:val="239A0BA6"/>
    <w:multiLevelType w:val="hybridMultilevel"/>
    <w:tmpl w:val="7D247174"/>
    <w:lvl w:ilvl="0" w:tplc="0410000F">
      <w:start w:val="1"/>
      <w:numFmt w:val="decimal"/>
      <w:pStyle w:val="Titolo1"/>
      <w:lvlText w:val="%1."/>
      <w:lvlJc w:val="left"/>
      <w:pPr>
        <w:tabs>
          <w:tab w:val="num" w:pos="360"/>
        </w:tabs>
        <w:ind w:left="360" w:hanging="360"/>
      </w:p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10" w15:restartNumberingAfterBreak="0">
    <w:nsid w:val="258048F3"/>
    <w:multiLevelType w:val="hybridMultilevel"/>
    <w:tmpl w:val="B7D635C2"/>
    <w:lvl w:ilvl="0" w:tplc="6062E39A">
      <w:start w:val="1"/>
      <w:numFmt w:val="bullet"/>
      <w:lvlText w:val=""/>
      <w:lvlJc w:val="left"/>
      <w:pPr>
        <w:tabs>
          <w:tab w:val="num" w:pos="425"/>
        </w:tabs>
        <w:ind w:left="425" w:hanging="425"/>
      </w:pPr>
      <w:rPr>
        <w:rFonts w:hint="default" w:ascii="Wingdings" w:hAnsi="Wingdings"/>
        <w:sz w:val="16"/>
      </w:rPr>
    </w:lvl>
    <w:lvl w:ilvl="1" w:tplc="04100003" w:tentative="1">
      <w:start w:val="1"/>
      <w:numFmt w:val="bullet"/>
      <w:lvlText w:val="o"/>
      <w:lvlJc w:val="left"/>
      <w:pPr>
        <w:tabs>
          <w:tab w:val="num" w:pos="1440"/>
        </w:tabs>
        <w:ind w:left="1440" w:hanging="360"/>
      </w:pPr>
      <w:rPr>
        <w:rFonts w:hint="default" w:ascii="Courier New" w:hAnsi="Courier New"/>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77E43B9"/>
    <w:multiLevelType w:val="hybridMultilevel"/>
    <w:tmpl w:val="BDE0CEC4"/>
    <w:lvl w:ilvl="0" w:tplc="04100005">
      <w:start w:val="1"/>
      <w:numFmt w:val="bullet"/>
      <w:lvlText w:val=""/>
      <w:lvlJc w:val="left"/>
      <w:pPr>
        <w:ind w:left="720" w:hanging="360"/>
      </w:pPr>
      <w:rPr>
        <w:rFonts w:hint="default" w:ascii="Wingdings" w:hAnsi="Wingdings"/>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2" w15:restartNumberingAfterBreak="0">
    <w:nsid w:val="293F1A28"/>
    <w:multiLevelType w:val="multilevel"/>
    <w:tmpl w:val="2B20F0AC"/>
    <w:lvl w:ilvl="0">
      <w:start w:val="1"/>
      <w:numFmt w:val="decimal"/>
      <w:pStyle w:val="Titolo10"/>
      <w:lvlText w:val="%1"/>
      <w:lvlJc w:val="left"/>
      <w:pPr>
        <w:tabs>
          <w:tab w:val="num" w:pos="578"/>
        </w:tabs>
        <w:ind w:left="578" w:hanging="578"/>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3" w15:restartNumberingAfterBreak="0">
    <w:nsid w:val="2A04093B"/>
    <w:multiLevelType w:val="singleLevel"/>
    <w:tmpl w:val="82A0AD48"/>
    <w:lvl w:ilvl="0">
      <w:start w:val="1"/>
      <w:numFmt w:val="upperLetter"/>
      <w:lvlText w:val="%1. "/>
      <w:legacy w:legacy="1" w:legacySpace="0" w:legacyIndent="360"/>
      <w:lvlJc w:val="left"/>
      <w:pPr>
        <w:ind w:left="360" w:hanging="360"/>
      </w:pPr>
      <w:rPr>
        <w:rFonts w:hint="default" w:ascii="Times New Roman" w:hAnsi="Times New Roman"/>
        <w:b w:val="0"/>
        <w:i w:val="0"/>
        <w:sz w:val="22"/>
        <w:u w:val="none"/>
      </w:rPr>
    </w:lvl>
  </w:abstractNum>
  <w:abstractNum w:abstractNumId="14" w15:restartNumberingAfterBreak="0">
    <w:nsid w:val="2B104488"/>
    <w:multiLevelType w:val="hybridMultilevel"/>
    <w:tmpl w:val="92E6135C"/>
    <w:lvl w:ilvl="0" w:tplc="04100005">
      <w:start w:val="1"/>
      <w:numFmt w:val="bullet"/>
      <w:lvlText w:val=""/>
      <w:lvlJc w:val="left"/>
      <w:pPr>
        <w:tabs>
          <w:tab w:val="num" w:pos="720"/>
        </w:tabs>
        <w:ind w:left="720" w:hanging="360"/>
      </w:pPr>
      <w:rPr>
        <w:rFonts w:hint="default" w:ascii="Wingdings" w:hAnsi="Wingdings"/>
        <w:color w:val="BE0036"/>
        <w:sz w:val="16"/>
      </w:rPr>
    </w:lvl>
    <w:lvl w:ilvl="1" w:tplc="35068C28">
      <w:start w:val="1"/>
      <w:numFmt w:val="bullet"/>
      <w:lvlText w:val=""/>
      <w:lvlJc w:val="left"/>
      <w:pPr>
        <w:tabs>
          <w:tab w:val="num" w:pos="1443"/>
        </w:tabs>
        <w:ind w:left="1443" w:hanging="363"/>
      </w:pPr>
      <w:rPr>
        <w:rFonts w:hint="default" w:ascii="Wingdings" w:hAnsi="Wingdings"/>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2BAB766E"/>
    <w:multiLevelType w:val="hybridMultilevel"/>
    <w:tmpl w:val="719CC742"/>
    <w:lvl w:ilvl="0" w:tplc="05B428B6">
      <w:start w:val="1"/>
      <w:numFmt w:val="bullet"/>
      <w:lvlText w:val=""/>
      <w:lvlJc w:val="left"/>
      <w:pPr>
        <w:ind w:left="360" w:hanging="360"/>
      </w:pPr>
      <w:rPr>
        <w:rFonts w:hint="default" w:ascii="Wingdings" w:hAnsi="Wingdings"/>
        <w:color w:val="BE0036"/>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16" w15:restartNumberingAfterBreak="0">
    <w:nsid w:val="35D86696"/>
    <w:multiLevelType w:val="hybridMultilevel"/>
    <w:tmpl w:val="A6AEEE52"/>
    <w:lvl w:ilvl="0" w:tplc="04100005">
      <w:start w:val="1"/>
      <w:numFmt w:val="bullet"/>
      <w:lvlText w:val=""/>
      <w:lvlJc w:val="left"/>
      <w:pPr>
        <w:ind w:left="360" w:hanging="360"/>
      </w:pPr>
      <w:rPr>
        <w:rFonts w:hint="default" w:ascii="Wingdings" w:hAnsi="Wingdings"/>
        <w:color w:val="BE0036"/>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17" w15:restartNumberingAfterBreak="0">
    <w:nsid w:val="40774C3B"/>
    <w:multiLevelType w:val="hybridMultilevel"/>
    <w:tmpl w:val="81EE1B2A"/>
    <w:lvl w:ilvl="0" w:tplc="04100005">
      <w:start w:val="1"/>
      <w:numFmt w:val="bullet"/>
      <w:lvlText w:val=""/>
      <w:lvlJc w:val="left"/>
      <w:pPr>
        <w:tabs>
          <w:tab w:val="num" w:pos="425"/>
        </w:tabs>
        <w:ind w:left="425" w:hanging="425"/>
      </w:pPr>
      <w:rPr>
        <w:rFonts w:hint="default" w:ascii="Wingdings" w:hAnsi="Wingdings"/>
        <w:color w:val="BE0036"/>
        <w:sz w:val="16"/>
      </w:rPr>
    </w:lvl>
    <w:lvl w:ilvl="1" w:tplc="04100003" w:tentative="1">
      <w:start w:val="1"/>
      <w:numFmt w:val="bullet"/>
      <w:lvlText w:val="o"/>
      <w:lvlJc w:val="left"/>
      <w:pPr>
        <w:tabs>
          <w:tab w:val="num" w:pos="1440"/>
        </w:tabs>
        <w:ind w:left="1440" w:hanging="360"/>
      </w:pPr>
      <w:rPr>
        <w:rFonts w:hint="default" w:ascii="Courier New" w:hAnsi="Courier New"/>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48E964F1"/>
    <w:multiLevelType w:val="hybridMultilevel"/>
    <w:tmpl w:val="36966BB8"/>
    <w:lvl w:ilvl="0" w:tplc="00C6F398">
      <w:start w:val="1"/>
      <w:numFmt w:val="bullet"/>
      <w:pStyle w:val="Elencopuntato0"/>
      <w:lvlText w:val=""/>
      <w:lvlJc w:val="left"/>
      <w:pPr>
        <w:ind w:left="360" w:hanging="360"/>
      </w:pPr>
      <w:rPr>
        <w:rFonts w:hint="default" w:ascii="Wingdings" w:hAnsi="Wingdings"/>
        <w:color w:val="BE0036"/>
        <w:sz w:val="16"/>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19" w15:restartNumberingAfterBreak="0">
    <w:nsid w:val="49A62227"/>
    <w:multiLevelType w:val="hybridMultilevel"/>
    <w:tmpl w:val="CF7C3FF8"/>
    <w:lvl w:ilvl="0" w:tplc="04100005">
      <w:start w:val="1"/>
      <w:numFmt w:val="bullet"/>
      <w:lvlText w:val=""/>
      <w:lvlJc w:val="left"/>
      <w:pPr>
        <w:tabs>
          <w:tab w:val="num" w:pos="720"/>
        </w:tabs>
        <w:ind w:left="720" w:hanging="360"/>
      </w:pPr>
      <w:rPr>
        <w:rFonts w:hint="default" w:ascii="Wingdings" w:hAnsi="Wingdings"/>
        <w:color w:val="BE0036"/>
        <w:sz w:val="16"/>
      </w:rPr>
    </w:lvl>
    <w:lvl w:ilvl="1" w:tplc="35068C28">
      <w:start w:val="1"/>
      <w:numFmt w:val="bullet"/>
      <w:lvlText w:val=""/>
      <w:lvlJc w:val="left"/>
      <w:pPr>
        <w:tabs>
          <w:tab w:val="num" w:pos="1443"/>
        </w:tabs>
        <w:ind w:left="1443" w:hanging="363"/>
      </w:pPr>
      <w:rPr>
        <w:rFonts w:hint="default" w:ascii="Wingdings" w:hAnsi="Wingdings"/>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4A48726A"/>
    <w:multiLevelType w:val="hybridMultilevel"/>
    <w:tmpl w:val="246E0614"/>
    <w:lvl w:ilvl="0" w:tplc="04100005">
      <w:start w:val="1"/>
      <w:numFmt w:val="bullet"/>
      <w:lvlText w:val=""/>
      <w:lvlJc w:val="left"/>
      <w:pPr>
        <w:tabs>
          <w:tab w:val="num" w:pos="720"/>
        </w:tabs>
        <w:ind w:left="720" w:hanging="360"/>
      </w:pPr>
      <w:rPr>
        <w:rFonts w:hint="default" w:ascii="Wingdings" w:hAnsi="Wingdings"/>
        <w:color w:val="BE0036"/>
        <w:sz w:val="16"/>
      </w:rPr>
    </w:lvl>
    <w:lvl w:ilvl="1" w:tplc="5D005F1C">
      <w:start w:val="1"/>
      <w:numFmt w:val="bullet"/>
      <w:lvlText w:val=""/>
      <w:lvlJc w:val="left"/>
      <w:pPr>
        <w:tabs>
          <w:tab w:val="num" w:pos="1443"/>
        </w:tabs>
        <w:ind w:left="1443" w:hanging="363"/>
      </w:pPr>
      <w:rPr>
        <w:rFonts w:hint="default" w:ascii="Wingdings" w:hAnsi="Wingdings"/>
      </w:rPr>
    </w:lvl>
    <w:lvl w:ilvl="2" w:tplc="D1B827C6">
      <w:numFmt w:val="bullet"/>
      <w:lvlText w:val="-"/>
      <w:lvlJc w:val="left"/>
      <w:pPr>
        <w:tabs>
          <w:tab w:val="num" w:pos="2160"/>
        </w:tabs>
        <w:ind w:left="2160" w:hanging="360"/>
      </w:pPr>
      <w:rPr>
        <w:rFonts w:hint="default" w:ascii="Verdana" w:hAnsi="Verdana" w:eastAsia="Times New Roman" w:cs="Times New Roman"/>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4E2D50A5"/>
    <w:multiLevelType w:val="hybridMultilevel"/>
    <w:tmpl w:val="3EF0E5FA"/>
    <w:lvl w:ilvl="0" w:tplc="04100005">
      <w:start w:val="1"/>
      <w:numFmt w:val="bullet"/>
      <w:lvlText w:val=""/>
      <w:lvlJc w:val="left"/>
      <w:pPr>
        <w:tabs>
          <w:tab w:val="num" w:pos="720"/>
        </w:tabs>
        <w:ind w:left="720" w:hanging="360"/>
      </w:pPr>
      <w:rPr>
        <w:rFonts w:hint="default" w:ascii="Wingdings" w:hAnsi="Wingdings"/>
        <w:color w:val="BE0036"/>
        <w:sz w:val="16"/>
      </w:rPr>
    </w:lvl>
    <w:lvl w:ilvl="1" w:tplc="04100003" w:tentative="1">
      <w:start w:val="1"/>
      <w:numFmt w:val="bullet"/>
      <w:lvlText w:val="o"/>
      <w:lvlJc w:val="left"/>
      <w:pPr>
        <w:tabs>
          <w:tab w:val="num" w:pos="1440"/>
        </w:tabs>
        <w:ind w:left="1440" w:hanging="360"/>
      </w:pPr>
      <w:rPr>
        <w:rFonts w:hint="default" w:ascii="Courier New" w:hAnsi="Courier New"/>
      </w:rPr>
    </w:lvl>
    <w:lvl w:ilvl="2" w:tplc="04100005">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510F6568"/>
    <w:multiLevelType w:val="hybridMultilevel"/>
    <w:tmpl w:val="BD4EC8F4"/>
    <w:lvl w:ilvl="0" w:tplc="EB547A9E">
      <w:start w:val="1"/>
      <w:numFmt w:val="bullet"/>
      <w:lvlText w:val=""/>
      <w:lvlJc w:val="left"/>
      <w:pPr>
        <w:tabs>
          <w:tab w:val="num" w:pos="720"/>
        </w:tabs>
        <w:ind w:left="720" w:hanging="360"/>
      </w:pPr>
      <w:rPr>
        <w:rFonts w:hint="default" w:ascii="Wingdings" w:hAnsi="Wingdings"/>
        <w:sz w:val="16"/>
      </w:rPr>
    </w:lvl>
    <w:lvl w:ilvl="1" w:tplc="5D005F1C">
      <w:start w:val="1"/>
      <w:numFmt w:val="bullet"/>
      <w:lvlText w:val=""/>
      <w:lvlJc w:val="left"/>
      <w:pPr>
        <w:tabs>
          <w:tab w:val="num" w:pos="1443"/>
        </w:tabs>
        <w:ind w:left="1443" w:hanging="363"/>
      </w:pPr>
      <w:rPr>
        <w:rFonts w:hint="default" w:ascii="Wingdings" w:hAnsi="Wingdings"/>
      </w:rPr>
    </w:lvl>
    <w:lvl w:ilvl="2" w:tplc="D1B827C6">
      <w:numFmt w:val="bullet"/>
      <w:lvlText w:val="-"/>
      <w:lvlJc w:val="left"/>
      <w:pPr>
        <w:tabs>
          <w:tab w:val="num" w:pos="2160"/>
        </w:tabs>
        <w:ind w:left="2160" w:hanging="360"/>
      </w:pPr>
      <w:rPr>
        <w:rFonts w:hint="default" w:ascii="Verdana" w:hAnsi="Verdana" w:eastAsia="Times New Roman" w:cs="Times New Roman"/>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578D0C4E"/>
    <w:multiLevelType w:val="hybridMultilevel"/>
    <w:tmpl w:val="8C88B59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4" w15:restartNumberingAfterBreak="0">
    <w:nsid w:val="59084E49"/>
    <w:multiLevelType w:val="hybridMultilevel"/>
    <w:tmpl w:val="2D48880E"/>
    <w:lvl w:ilvl="0" w:tplc="04100005">
      <w:start w:val="1"/>
      <w:numFmt w:val="bullet"/>
      <w:lvlText w:val=""/>
      <w:lvlJc w:val="left"/>
      <w:pPr>
        <w:ind w:left="720" w:hanging="360"/>
      </w:pPr>
      <w:rPr>
        <w:rFonts w:hint="default" w:ascii="Wingdings" w:hAnsi="Wingdings"/>
        <w:color w:val="BE0036"/>
        <w:sz w:val="16"/>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5" w15:restartNumberingAfterBreak="0">
    <w:nsid w:val="59FB2E30"/>
    <w:multiLevelType w:val="hybridMultilevel"/>
    <w:tmpl w:val="5BCAE3BC"/>
    <w:lvl w:ilvl="0" w:tplc="05B428B6">
      <w:start w:val="1"/>
      <w:numFmt w:val="bullet"/>
      <w:lvlText w:val=""/>
      <w:lvlJc w:val="left"/>
      <w:pPr>
        <w:ind w:left="360" w:hanging="360"/>
      </w:pPr>
      <w:rPr>
        <w:rFonts w:hint="default" w:ascii="Wingdings" w:hAnsi="Wingdings"/>
        <w:color w:val="BE0036"/>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26" w15:restartNumberingAfterBreak="0">
    <w:nsid w:val="5D566FEA"/>
    <w:multiLevelType w:val="hybridMultilevel"/>
    <w:tmpl w:val="647680B6"/>
    <w:lvl w:ilvl="0" w:tplc="04100005">
      <w:start w:val="1"/>
      <w:numFmt w:val="bullet"/>
      <w:lvlText w:val=""/>
      <w:lvlJc w:val="left"/>
      <w:pPr>
        <w:tabs>
          <w:tab w:val="num" w:pos="425"/>
        </w:tabs>
        <w:ind w:left="425" w:hanging="425"/>
      </w:pPr>
      <w:rPr>
        <w:rFonts w:hint="default" w:ascii="Wingdings" w:hAnsi="Wingdings"/>
        <w:color w:val="BE0036"/>
        <w:sz w:val="16"/>
      </w:rPr>
    </w:lvl>
    <w:lvl w:ilvl="1" w:tplc="04100003" w:tentative="1">
      <w:start w:val="1"/>
      <w:numFmt w:val="bullet"/>
      <w:lvlText w:val="o"/>
      <w:lvlJc w:val="left"/>
      <w:pPr>
        <w:tabs>
          <w:tab w:val="num" w:pos="1440"/>
        </w:tabs>
        <w:ind w:left="1440" w:hanging="360"/>
      </w:pPr>
      <w:rPr>
        <w:rFonts w:hint="default" w:ascii="Courier New" w:hAnsi="Courier New"/>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27" w15:restartNumberingAfterBreak="0">
    <w:nsid w:val="67A91898"/>
    <w:multiLevelType w:val="hybridMultilevel"/>
    <w:tmpl w:val="49A807C4"/>
    <w:lvl w:ilvl="0" w:tplc="800A77F6">
      <w:start w:val="1"/>
      <w:numFmt w:val="bullet"/>
      <w:lvlText w:val=""/>
      <w:lvlJc w:val="left"/>
      <w:pPr>
        <w:tabs>
          <w:tab w:val="num" w:pos="340"/>
        </w:tabs>
        <w:ind w:left="340" w:hanging="170"/>
      </w:pPr>
      <w:rPr>
        <w:rFonts w:hint="default" w:ascii="Wingdings" w:hAnsi="Wingdings"/>
      </w:rPr>
    </w:lvl>
    <w:lvl w:ilvl="1" w:tplc="04100003" w:tentative="1">
      <w:start w:val="1"/>
      <w:numFmt w:val="bullet"/>
      <w:lvlText w:val="o"/>
      <w:lvlJc w:val="left"/>
      <w:pPr>
        <w:tabs>
          <w:tab w:val="num" w:pos="1610"/>
        </w:tabs>
        <w:ind w:left="1610" w:hanging="360"/>
      </w:pPr>
      <w:rPr>
        <w:rFonts w:hint="default" w:ascii="Courier New" w:hAnsi="Courier New" w:cs="Courier New"/>
      </w:rPr>
    </w:lvl>
    <w:lvl w:ilvl="2" w:tplc="04100005" w:tentative="1">
      <w:start w:val="1"/>
      <w:numFmt w:val="bullet"/>
      <w:lvlText w:val=""/>
      <w:lvlJc w:val="left"/>
      <w:pPr>
        <w:tabs>
          <w:tab w:val="num" w:pos="2330"/>
        </w:tabs>
        <w:ind w:left="2330" w:hanging="360"/>
      </w:pPr>
      <w:rPr>
        <w:rFonts w:hint="default" w:ascii="Wingdings" w:hAnsi="Wingdings"/>
      </w:rPr>
    </w:lvl>
    <w:lvl w:ilvl="3" w:tplc="04100001" w:tentative="1">
      <w:start w:val="1"/>
      <w:numFmt w:val="bullet"/>
      <w:lvlText w:val=""/>
      <w:lvlJc w:val="left"/>
      <w:pPr>
        <w:tabs>
          <w:tab w:val="num" w:pos="3050"/>
        </w:tabs>
        <w:ind w:left="3050" w:hanging="360"/>
      </w:pPr>
      <w:rPr>
        <w:rFonts w:hint="default" w:ascii="Symbol" w:hAnsi="Symbol"/>
      </w:rPr>
    </w:lvl>
    <w:lvl w:ilvl="4" w:tplc="04100003" w:tentative="1">
      <w:start w:val="1"/>
      <w:numFmt w:val="bullet"/>
      <w:lvlText w:val="o"/>
      <w:lvlJc w:val="left"/>
      <w:pPr>
        <w:tabs>
          <w:tab w:val="num" w:pos="3770"/>
        </w:tabs>
        <w:ind w:left="3770" w:hanging="360"/>
      </w:pPr>
      <w:rPr>
        <w:rFonts w:hint="default" w:ascii="Courier New" w:hAnsi="Courier New" w:cs="Courier New"/>
      </w:rPr>
    </w:lvl>
    <w:lvl w:ilvl="5" w:tplc="04100005" w:tentative="1">
      <w:start w:val="1"/>
      <w:numFmt w:val="bullet"/>
      <w:lvlText w:val=""/>
      <w:lvlJc w:val="left"/>
      <w:pPr>
        <w:tabs>
          <w:tab w:val="num" w:pos="4490"/>
        </w:tabs>
        <w:ind w:left="4490" w:hanging="360"/>
      </w:pPr>
      <w:rPr>
        <w:rFonts w:hint="default" w:ascii="Wingdings" w:hAnsi="Wingdings"/>
      </w:rPr>
    </w:lvl>
    <w:lvl w:ilvl="6" w:tplc="04100001" w:tentative="1">
      <w:start w:val="1"/>
      <w:numFmt w:val="bullet"/>
      <w:lvlText w:val=""/>
      <w:lvlJc w:val="left"/>
      <w:pPr>
        <w:tabs>
          <w:tab w:val="num" w:pos="5210"/>
        </w:tabs>
        <w:ind w:left="5210" w:hanging="360"/>
      </w:pPr>
      <w:rPr>
        <w:rFonts w:hint="default" w:ascii="Symbol" w:hAnsi="Symbol"/>
      </w:rPr>
    </w:lvl>
    <w:lvl w:ilvl="7" w:tplc="04100003" w:tentative="1">
      <w:start w:val="1"/>
      <w:numFmt w:val="bullet"/>
      <w:lvlText w:val="o"/>
      <w:lvlJc w:val="left"/>
      <w:pPr>
        <w:tabs>
          <w:tab w:val="num" w:pos="5930"/>
        </w:tabs>
        <w:ind w:left="5930" w:hanging="360"/>
      </w:pPr>
      <w:rPr>
        <w:rFonts w:hint="default" w:ascii="Courier New" w:hAnsi="Courier New" w:cs="Courier New"/>
      </w:rPr>
    </w:lvl>
    <w:lvl w:ilvl="8" w:tplc="04100005" w:tentative="1">
      <w:start w:val="1"/>
      <w:numFmt w:val="bullet"/>
      <w:lvlText w:val=""/>
      <w:lvlJc w:val="left"/>
      <w:pPr>
        <w:tabs>
          <w:tab w:val="num" w:pos="6650"/>
        </w:tabs>
        <w:ind w:left="6650" w:hanging="360"/>
      </w:pPr>
      <w:rPr>
        <w:rFonts w:hint="default" w:ascii="Wingdings" w:hAnsi="Wingdings"/>
      </w:rPr>
    </w:lvl>
  </w:abstractNum>
  <w:abstractNum w:abstractNumId="28" w15:restartNumberingAfterBreak="0">
    <w:nsid w:val="6B6E29EB"/>
    <w:multiLevelType w:val="hybridMultilevel"/>
    <w:tmpl w:val="A4F02A6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6CC163E3"/>
    <w:multiLevelType w:val="hybridMultilevel"/>
    <w:tmpl w:val="CAD4DAC0"/>
    <w:lvl w:ilvl="0" w:tplc="04100007">
      <w:start w:val="1"/>
      <w:numFmt w:val="bullet"/>
      <w:lvlText w:val=""/>
      <w:lvlJc w:val="left"/>
      <w:pPr>
        <w:tabs>
          <w:tab w:val="num" w:pos="720"/>
        </w:tabs>
        <w:ind w:left="720" w:hanging="360"/>
      </w:pPr>
      <w:rPr>
        <w:rFonts w:hint="default" w:ascii="Wingdings" w:hAnsi="Wingdings"/>
        <w:sz w:val="16"/>
      </w:rPr>
    </w:lvl>
    <w:lvl w:ilvl="1" w:tplc="04100003" w:tentative="1">
      <w:start w:val="1"/>
      <w:numFmt w:val="bullet"/>
      <w:lvlText w:val="o"/>
      <w:lvlJc w:val="left"/>
      <w:pPr>
        <w:tabs>
          <w:tab w:val="num" w:pos="1440"/>
        </w:tabs>
        <w:ind w:left="1440" w:hanging="360"/>
      </w:pPr>
      <w:rPr>
        <w:rFonts w:hint="default" w:ascii="Courier New" w:hAnsi="Courier New"/>
      </w:rPr>
    </w:lvl>
    <w:lvl w:ilvl="2" w:tplc="B4640804">
      <w:start w:val="1"/>
      <w:numFmt w:val="bullet"/>
      <w:lvlText w:val=""/>
      <w:lvlJc w:val="left"/>
      <w:pPr>
        <w:tabs>
          <w:tab w:val="num" w:pos="1593"/>
        </w:tabs>
        <w:ind w:left="1593" w:hanging="363"/>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70746056"/>
    <w:multiLevelType w:val="hybridMultilevel"/>
    <w:tmpl w:val="02860B2A"/>
    <w:lvl w:ilvl="0" w:tplc="05B428B6">
      <w:start w:val="1"/>
      <w:numFmt w:val="bullet"/>
      <w:lvlText w:val=""/>
      <w:lvlJc w:val="left"/>
      <w:pPr>
        <w:tabs>
          <w:tab w:val="num" w:pos="425"/>
        </w:tabs>
        <w:ind w:left="425" w:hanging="425"/>
      </w:pPr>
      <w:rPr>
        <w:rFonts w:hint="default" w:ascii="Wingdings" w:hAnsi="Wingdings"/>
        <w:color w:val="BE0036"/>
        <w:sz w:val="16"/>
      </w:rPr>
    </w:lvl>
    <w:lvl w:ilvl="1" w:tplc="04100003" w:tentative="1">
      <w:start w:val="1"/>
      <w:numFmt w:val="bullet"/>
      <w:lvlText w:val="o"/>
      <w:lvlJc w:val="left"/>
      <w:pPr>
        <w:tabs>
          <w:tab w:val="num" w:pos="1440"/>
        </w:tabs>
        <w:ind w:left="1440" w:hanging="360"/>
      </w:pPr>
      <w:rPr>
        <w:rFonts w:hint="default" w:ascii="Courier New" w:hAnsi="Courier New"/>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71047FC0"/>
    <w:multiLevelType w:val="hybridMultilevel"/>
    <w:tmpl w:val="5D1EA0D4"/>
    <w:lvl w:ilvl="0" w:tplc="05B428B6">
      <w:start w:val="1"/>
      <w:numFmt w:val="bullet"/>
      <w:lvlText w:val=""/>
      <w:lvlJc w:val="left"/>
      <w:pPr>
        <w:tabs>
          <w:tab w:val="num" w:pos="425"/>
        </w:tabs>
        <w:ind w:left="425" w:hanging="425"/>
      </w:pPr>
      <w:rPr>
        <w:rFonts w:hint="default" w:ascii="Wingdings" w:hAnsi="Wingdings"/>
        <w:color w:val="BE0036"/>
        <w:sz w:val="16"/>
      </w:rPr>
    </w:lvl>
    <w:lvl w:ilvl="1" w:tplc="04100003" w:tentative="1">
      <w:start w:val="1"/>
      <w:numFmt w:val="bullet"/>
      <w:lvlText w:val="o"/>
      <w:lvlJc w:val="left"/>
      <w:pPr>
        <w:tabs>
          <w:tab w:val="num" w:pos="1440"/>
        </w:tabs>
        <w:ind w:left="1440" w:hanging="360"/>
      </w:pPr>
      <w:rPr>
        <w:rFonts w:hint="default" w:ascii="Courier New" w:hAnsi="Courier New"/>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32" w15:restartNumberingAfterBreak="0">
    <w:nsid w:val="7BE1419A"/>
    <w:multiLevelType w:val="hybridMultilevel"/>
    <w:tmpl w:val="991C7712"/>
    <w:lvl w:ilvl="0" w:tplc="3ED8677C">
      <w:start w:val="3"/>
      <w:numFmt w:val="bullet"/>
      <w:lvlText w:val="-"/>
      <w:lvlJc w:val="left"/>
      <w:pPr>
        <w:ind w:left="720" w:hanging="360"/>
      </w:pPr>
      <w:rPr>
        <w:rFonts w:hint="default" w:ascii="Verdana" w:hAnsi="Verdana" w:eastAsia="Times New Roman" w:cs="Times New Roman"/>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3" w15:restartNumberingAfterBreak="0">
    <w:nsid w:val="7F9540EB"/>
    <w:multiLevelType w:val="hybridMultilevel"/>
    <w:tmpl w:val="87AEA92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num w:numId="38">
    <w:abstractNumId w:val="35"/>
  </w:num>
  <w:num w:numId="37">
    <w:abstractNumId w:val="34"/>
  </w:num>
  <w:num w:numId="1" w16cid:durableId="1810319130">
    <w:abstractNumId w:val="12"/>
  </w:num>
  <w:num w:numId="2" w16cid:durableId="1389114479">
    <w:abstractNumId w:val="12"/>
  </w:num>
  <w:num w:numId="3" w16cid:durableId="806627844">
    <w:abstractNumId w:val="0"/>
    <w:lvlOverride w:ilvl="0">
      <w:lvl w:ilvl="0">
        <w:start w:val="1"/>
        <w:numFmt w:val="bullet"/>
        <w:lvlText w:val=""/>
        <w:legacy w:legacy="1" w:legacySpace="0" w:legacyIndent="283"/>
        <w:lvlJc w:val="left"/>
        <w:pPr>
          <w:ind w:left="283" w:hanging="283"/>
        </w:pPr>
        <w:rPr>
          <w:rFonts w:hint="default" w:ascii="Symbol" w:hAnsi="Symbol"/>
        </w:rPr>
      </w:lvl>
    </w:lvlOverride>
  </w:num>
  <w:num w:numId="4" w16cid:durableId="381947568">
    <w:abstractNumId w:val="0"/>
    <w:lvlOverride w:ilvl="0">
      <w:lvl w:ilvl="0">
        <w:start w:val="1"/>
        <w:numFmt w:val="bullet"/>
        <w:lvlText w:val=""/>
        <w:legacy w:legacy="1" w:legacySpace="0" w:legacyIndent="360"/>
        <w:lvlJc w:val="left"/>
        <w:pPr>
          <w:ind w:left="360" w:hanging="360"/>
        </w:pPr>
        <w:rPr>
          <w:rFonts w:hint="default" w:ascii="Symbol" w:hAnsi="Symbol"/>
        </w:rPr>
      </w:lvl>
    </w:lvlOverride>
  </w:num>
  <w:num w:numId="5" w16cid:durableId="121926372">
    <w:abstractNumId w:val="13"/>
  </w:num>
  <w:num w:numId="6" w16cid:durableId="1904875104">
    <w:abstractNumId w:val="2"/>
  </w:num>
  <w:num w:numId="7" w16cid:durableId="1241712843">
    <w:abstractNumId w:val="9"/>
  </w:num>
  <w:num w:numId="8" w16cid:durableId="852301344">
    <w:abstractNumId w:val="7"/>
  </w:num>
  <w:num w:numId="9" w16cid:durableId="1346706337">
    <w:abstractNumId w:val="29"/>
  </w:num>
  <w:num w:numId="10" w16cid:durableId="223761773">
    <w:abstractNumId w:val="22"/>
  </w:num>
  <w:num w:numId="11" w16cid:durableId="982732472">
    <w:abstractNumId w:val="4"/>
  </w:num>
  <w:num w:numId="12" w16cid:durableId="515536425">
    <w:abstractNumId w:val="10"/>
  </w:num>
  <w:num w:numId="13" w16cid:durableId="864631599">
    <w:abstractNumId w:val="27"/>
  </w:num>
  <w:num w:numId="14" w16cid:durableId="251360869">
    <w:abstractNumId w:val="32"/>
  </w:num>
  <w:num w:numId="15" w16cid:durableId="1005599048">
    <w:abstractNumId w:val="23"/>
  </w:num>
  <w:num w:numId="16" w16cid:durableId="2089842964">
    <w:abstractNumId w:val="33"/>
  </w:num>
  <w:num w:numId="17" w16cid:durableId="993803270">
    <w:abstractNumId w:val="8"/>
  </w:num>
  <w:num w:numId="18" w16cid:durableId="730857511">
    <w:abstractNumId w:val="11"/>
  </w:num>
  <w:num w:numId="19" w16cid:durableId="453792986">
    <w:abstractNumId w:val="6"/>
  </w:num>
  <w:num w:numId="20" w16cid:durableId="1166749158">
    <w:abstractNumId w:val="1"/>
  </w:num>
  <w:num w:numId="21" w16cid:durableId="1456555384">
    <w:abstractNumId w:val="25"/>
  </w:num>
  <w:num w:numId="22" w16cid:durableId="906957860">
    <w:abstractNumId w:val="15"/>
  </w:num>
  <w:num w:numId="23" w16cid:durableId="1275675917">
    <w:abstractNumId w:val="30"/>
  </w:num>
  <w:num w:numId="24" w16cid:durableId="64957271">
    <w:abstractNumId w:val="31"/>
  </w:num>
  <w:num w:numId="25" w16cid:durableId="1568488673">
    <w:abstractNumId w:val="28"/>
  </w:num>
  <w:num w:numId="26" w16cid:durableId="659046407">
    <w:abstractNumId w:val="17"/>
  </w:num>
  <w:num w:numId="27" w16cid:durableId="417405714">
    <w:abstractNumId w:val="26"/>
  </w:num>
  <w:num w:numId="28" w16cid:durableId="591816642">
    <w:abstractNumId w:val="18"/>
  </w:num>
  <w:num w:numId="29" w16cid:durableId="87582235">
    <w:abstractNumId w:val="16"/>
  </w:num>
  <w:num w:numId="30" w16cid:durableId="1492479247">
    <w:abstractNumId w:val="5"/>
  </w:num>
  <w:num w:numId="31" w16cid:durableId="669210733">
    <w:abstractNumId w:val="24"/>
  </w:num>
  <w:num w:numId="32" w16cid:durableId="594486538">
    <w:abstractNumId w:val="14"/>
  </w:num>
  <w:num w:numId="33" w16cid:durableId="2042316297">
    <w:abstractNumId w:val="19"/>
  </w:num>
  <w:num w:numId="34" w16cid:durableId="1946689057">
    <w:abstractNumId w:val="20"/>
  </w:num>
  <w:num w:numId="35" w16cid:durableId="1736470235">
    <w:abstractNumId w:val="21"/>
  </w:num>
  <w:num w:numId="36" w16cid:durableId="694354921">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activeWritingStyle w:lang="it-IT" w:vendorID="3" w:dllVersion="517" w:checkStyle="1" w:appName="MSWord"/>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6"/>
  <w:hyphenationZone w:val="283"/>
  <w:displayHorizontalDrawingGridEvery w:val="0"/>
  <w:displayVerticalDrawingGridEvery w:val="0"/>
  <w:doNotUseMarginsForDrawingGridOrigin/>
  <w:noPunctuationKerning/>
  <w:characterSpacingControl w:val="doNotCompress"/>
  <w:updateFields w:val="true"/>
  <w:hdrShapeDefaults>
    <o:shapedefaults v:ext="edit" spidmax="2050" fill="f" fillcolor="white" stroke="f">
      <v:fill on="f" color="white"/>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FD1"/>
    <w:rsid w:val="00010D10"/>
    <w:rsid w:val="00022CC7"/>
    <w:rsid w:val="00031201"/>
    <w:rsid w:val="00035A2E"/>
    <w:rsid w:val="0003749D"/>
    <w:rsid w:val="00064288"/>
    <w:rsid w:val="0009194D"/>
    <w:rsid w:val="000974BB"/>
    <w:rsid w:val="00097F73"/>
    <w:rsid w:val="000A5578"/>
    <w:rsid w:val="000A5F2B"/>
    <w:rsid w:val="000B1C88"/>
    <w:rsid w:val="000C3F20"/>
    <w:rsid w:val="000D1E92"/>
    <w:rsid w:val="000D388B"/>
    <w:rsid w:val="000D6FC0"/>
    <w:rsid w:val="000E561F"/>
    <w:rsid w:val="000F22C6"/>
    <w:rsid w:val="00113ED6"/>
    <w:rsid w:val="00130B81"/>
    <w:rsid w:val="001326F9"/>
    <w:rsid w:val="00133A0E"/>
    <w:rsid w:val="00134EAC"/>
    <w:rsid w:val="00136C19"/>
    <w:rsid w:val="00145899"/>
    <w:rsid w:val="001460BC"/>
    <w:rsid w:val="00156FBD"/>
    <w:rsid w:val="00170A2A"/>
    <w:rsid w:val="001730AB"/>
    <w:rsid w:val="001924DB"/>
    <w:rsid w:val="001968E5"/>
    <w:rsid w:val="001A18C4"/>
    <w:rsid w:val="001A6C8D"/>
    <w:rsid w:val="001B0AAE"/>
    <w:rsid w:val="001B6D9F"/>
    <w:rsid w:val="001C2CF4"/>
    <w:rsid w:val="001C50FA"/>
    <w:rsid w:val="001C7ED8"/>
    <w:rsid w:val="001E2C1C"/>
    <w:rsid w:val="001E55E8"/>
    <w:rsid w:val="001E67C9"/>
    <w:rsid w:val="00216B49"/>
    <w:rsid w:val="0022789E"/>
    <w:rsid w:val="00240A83"/>
    <w:rsid w:val="002547F8"/>
    <w:rsid w:val="00271751"/>
    <w:rsid w:val="0028340F"/>
    <w:rsid w:val="00291930"/>
    <w:rsid w:val="00296EE7"/>
    <w:rsid w:val="002A5591"/>
    <w:rsid w:val="002B0B9B"/>
    <w:rsid w:val="002B1028"/>
    <w:rsid w:val="002B16F9"/>
    <w:rsid w:val="002B29E1"/>
    <w:rsid w:val="002C36C1"/>
    <w:rsid w:val="002D3EF2"/>
    <w:rsid w:val="002E504F"/>
    <w:rsid w:val="00305E69"/>
    <w:rsid w:val="00322929"/>
    <w:rsid w:val="00323E13"/>
    <w:rsid w:val="003316F4"/>
    <w:rsid w:val="00335EB1"/>
    <w:rsid w:val="00336BDD"/>
    <w:rsid w:val="00353E2B"/>
    <w:rsid w:val="00372D4B"/>
    <w:rsid w:val="003824AC"/>
    <w:rsid w:val="00385538"/>
    <w:rsid w:val="003B5981"/>
    <w:rsid w:val="003D0CEA"/>
    <w:rsid w:val="003D6D20"/>
    <w:rsid w:val="003E44AA"/>
    <w:rsid w:val="003F3681"/>
    <w:rsid w:val="00407ED5"/>
    <w:rsid w:val="00416166"/>
    <w:rsid w:val="00427D84"/>
    <w:rsid w:val="004310E1"/>
    <w:rsid w:val="004366E7"/>
    <w:rsid w:val="004474FC"/>
    <w:rsid w:val="00477FC1"/>
    <w:rsid w:val="00494842"/>
    <w:rsid w:val="004A227F"/>
    <w:rsid w:val="004B1F51"/>
    <w:rsid w:val="004C3986"/>
    <w:rsid w:val="004F2D55"/>
    <w:rsid w:val="004F2FEC"/>
    <w:rsid w:val="004F79DF"/>
    <w:rsid w:val="00504468"/>
    <w:rsid w:val="0051296B"/>
    <w:rsid w:val="0051389E"/>
    <w:rsid w:val="00533F08"/>
    <w:rsid w:val="005354AE"/>
    <w:rsid w:val="00536BC4"/>
    <w:rsid w:val="005510E1"/>
    <w:rsid w:val="00551754"/>
    <w:rsid w:val="00556617"/>
    <w:rsid w:val="005604F0"/>
    <w:rsid w:val="00571B99"/>
    <w:rsid w:val="005832E3"/>
    <w:rsid w:val="00590BAB"/>
    <w:rsid w:val="005B4261"/>
    <w:rsid w:val="005C5F48"/>
    <w:rsid w:val="005D450C"/>
    <w:rsid w:val="005D4850"/>
    <w:rsid w:val="005E17B9"/>
    <w:rsid w:val="005E6CE2"/>
    <w:rsid w:val="005E7B61"/>
    <w:rsid w:val="005F1513"/>
    <w:rsid w:val="005F1D42"/>
    <w:rsid w:val="005F1F8A"/>
    <w:rsid w:val="005F39AC"/>
    <w:rsid w:val="005F3D45"/>
    <w:rsid w:val="006022B3"/>
    <w:rsid w:val="006025E0"/>
    <w:rsid w:val="006257F6"/>
    <w:rsid w:val="00636EC0"/>
    <w:rsid w:val="00637ADF"/>
    <w:rsid w:val="00640F06"/>
    <w:rsid w:val="0064124C"/>
    <w:rsid w:val="006738EE"/>
    <w:rsid w:val="00676E01"/>
    <w:rsid w:val="00682BA0"/>
    <w:rsid w:val="00683F58"/>
    <w:rsid w:val="0068650A"/>
    <w:rsid w:val="00687B19"/>
    <w:rsid w:val="006A1397"/>
    <w:rsid w:val="006A25E4"/>
    <w:rsid w:val="006A497E"/>
    <w:rsid w:val="006A55BB"/>
    <w:rsid w:val="006A5C92"/>
    <w:rsid w:val="006B5011"/>
    <w:rsid w:val="006C7138"/>
    <w:rsid w:val="006D02DD"/>
    <w:rsid w:val="006D3D19"/>
    <w:rsid w:val="006E43E5"/>
    <w:rsid w:val="00700811"/>
    <w:rsid w:val="007128E9"/>
    <w:rsid w:val="0071471C"/>
    <w:rsid w:val="007168AD"/>
    <w:rsid w:val="00721078"/>
    <w:rsid w:val="00733B37"/>
    <w:rsid w:val="00737CBA"/>
    <w:rsid w:val="00740B7F"/>
    <w:rsid w:val="00745AA3"/>
    <w:rsid w:val="00762449"/>
    <w:rsid w:val="00793A9F"/>
    <w:rsid w:val="0079511C"/>
    <w:rsid w:val="0079636F"/>
    <w:rsid w:val="00797648"/>
    <w:rsid w:val="007B13CD"/>
    <w:rsid w:val="007B5488"/>
    <w:rsid w:val="007C2DC9"/>
    <w:rsid w:val="007D362D"/>
    <w:rsid w:val="007E6816"/>
    <w:rsid w:val="007E71F1"/>
    <w:rsid w:val="007E7C16"/>
    <w:rsid w:val="007F5CE6"/>
    <w:rsid w:val="007F6036"/>
    <w:rsid w:val="007F63F7"/>
    <w:rsid w:val="0080024F"/>
    <w:rsid w:val="0080170D"/>
    <w:rsid w:val="00825817"/>
    <w:rsid w:val="008265CC"/>
    <w:rsid w:val="00834FC7"/>
    <w:rsid w:val="00835F60"/>
    <w:rsid w:val="0084472A"/>
    <w:rsid w:val="008471C7"/>
    <w:rsid w:val="00856B3E"/>
    <w:rsid w:val="008729E3"/>
    <w:rsid w:val="00880C7F"/>
    <w:rsid w:val="00883738"/>
    <w:rsid w:val="00885563"/>
    <w:rsid w:val="00885F35"/>
    <w:rsid w:val="00887B7E"/>
    <w:rsid w:val="008937B4"/>
    <w:rsid w:val="008A3CC6"/>
    <w:rsid w:val="008B1195"/>
    <w:rsid w:val="008C2933"/>
    <w:rsid w:val="008D18BC"/>
    <w:rsid w:val="008D5830"/>
    <w:rsid w:val="008E2B52"/>
    <w:rsid w:val="008F5D98"/>
    <w:rsid w:val="00902A24"/>
    <w:rsid w:val="009030C2"/>
    <w:rsid w:val="00922819"/>
    <w:rsid w:val="009331ED"/>
    <w:rsid w:val="00935BF6"/>
    <w:rsid w:val="00943B2C"/>
    <w:rsid w:val="0095394B"/>
    <w:rsid w:val="00961C6E"/>
    <w:rsid w:val="0096330D"/>
    <w:rsid w:val="00965624"/>
    <w:rsid w:val="00970A33"/>
    <w:rsid w:val="00970C51"/>
    <w:rsid w:val="00983CA5"/>
    <w:rsid w:val="00997058"/>
    <w:rsid w:val="009A5BC1"/>
    <w:rsid w:val="009A7C0B"/>
    <w:rsid w:val="009C3A36"/>
    <w:rsid w:val="009C7A1A"/>
    <w:rsid w:val="009E52A1"/>
    <w:rsid w:val="009F0091"/>
    <w:rsid w:val="009F1DE2"/>
    <w:rsid w:val="00A078ED"/>
    <w:rsid w:val="00A1250B"/>
    <w:rsid w:val="00A16153"/>
    <w:rsid w:val="00A533EF"/>
    <w:rsid w:val="00A84863"/>
    <w:rsid w:val="00A86D24"/>
    <w:rsid w:val="00AB400F"/>
    <w:rsid w:val="00AD158A"/>
    <w:rsid w:val="00AD5D25"/>
    <w:rsid w:val="00AE145C"/>
    <w:rsid w:val="00AE2996"/>
    <w:rsid w:val="00B07890"/>
    <w:rsid w:val="00B11A4C"/>
    <w:rsid w:val="00B62120"/>
    <w:rsid w:val="00B640E2"/>
    <w:rsid w:val="00B65138"/>
    <w:rsid w:val="00B65D09"/>
    <w:rsid w:val="00B737A4"/>
    <w:rsid w:val="00B744FB"/>
    <w:rsid w:val="00B750BD"/>
    <w:rsid w:val="00BB123F"/>
    <w:rsid w:val="00BB268E"/>
    <w:rsid w:val="00BB79E9"/>
    <w:rsid w:val="00BC2A73"/>
    <w:rsid w:val="00BC3FDC"/>
    <w:rsid w:val="00BC48ED"/>
    <w:rsid w:val="00BC7A4E"/>
    <w:rsid w:val="00BD3AD5"/>
    <w:rsid w:val="00BD7FA9"/>
    <w:rsid w:val="00BF7193"/>
    <w:rsid w:val="00C023B5"/>
    <w:rsid w:val="00C07AF3"/>
    <w:rsid w:val="00C22B27"/>
    <w:rsid w:val="00C3008D"/>
    <w:rsid w:val="00C44684"/>
    <w:rsid w:val="00C5106B"/>
    <w:rsid w:val="00C51F85"/>
    <w:rsid w:val="00C521D6"/>
    <w:rsid w:val="00C53961"/>
    <w:rsid w:val="00C54F51"/>
    <w:rsid w:val="00C57C65"/>
    <w:rsid w:val="00C62184"/>
    <w:rsid w:val="00C6765D"/>
    <w:rsid w:val="00C726B7"/>
    <w:rsid w:val="00C72845"/>
    <w:rsid w:val="00C74C31"/>
    <w:rsid w:val="00C8209A"/>
    <w:rsid w:val="00C82B3A"/>
    <w:rsid w:val="00C846A1"/>
    <w:rsid w:val="00C91B53"/>
    <w:rsid w:val="00CA5229"/>
    <w:rsid w:val="00CA6668"/>
    <w:rsid w:val="00CA6DD8"/>
    <w:rsid w:val="00CA7607"/>
    <w:rsid w:val="00CB37D9"/>
    <w:rsid w:val="00CB58BD"/>
    <w:rsid w:val="00CD4261"/>
    <w:rsid w:val="00CD45CE"/>
    <w:rsid w:val="00CE3393"/>
    <w:rsid w:val="00CF71CD"/>
    <w:rsid w:val="00D010D3"/>
    <w:rsid w:val="00D0477F"/>
    <w:rsid w:val="00D120DD"/>
    <w:rsid w:val="00D27799"/>
    <w:rsid w:val="00D335C1"/>
    <w:rsid w:val="00D33C81"/>
    <w:rsid w:val="00D3493D"/>
    <w:rsid w:val="00D437BC"/>
    <w:rsid w:val="00D4617B"/>
    <w:rsid w:val="00D54178"/>
    <w:rsid w:val="00D55CC3"/>
    <w:rsid w:val="00D810D4"/>
    <w:rsid w:val="00D817C1"/>
    <w:rsid w:val="00D81BBA"/>
    <w:rsid w:val="00D86296"/>
    <w:rsid w:val="00DA49B0"/>
    <w:rsid w:val="00DC34EC"/>
    <w:rsid w:val="00DD0973"/>
    <w:rsid w:val="00DD7D26"/>
    <w:rsid w:val="00DD7F8C"/>
    <w:rsid w:val="00DE0EE6"/>
    <w:rsid w:val="00DE7270"/>
    <w:rsid w:val="00DF053D"/>
    <w:rsid w:val="00DF49FE"/>
    <w:rsid w:val="00E13E44"/>
    <w:rsid w:val="00E30538"/>
    <w:rsid w:val="00E3771E"/>
    <w:rsid w:val="00E51B16"/>
    <w:rsid w:val="00E572E8"/>
    <w:rsid w:val="00E747C3"/>
    <w:rsid w:val="00E85B98"/>
    <w:rsid w:val="00E966AE"/>
    <w:rsid w:val="00E971C5"/>
    <w:rsid w:val="00EB6AA7"/>
    <w:rsid w:val="00EB71A8"/>
    <w:rsid w:val="00ED32B2"/>
    <w:rsid w:val="00ED44F8"/>
    <w:rsid w:val="00ED451C"/>
    <w:rsid w:val="00EE2FD1"/>
    <w:rsid w:val="00EF0BAB"/>
    <w:rsid w:val="00EF6096"/>
    <w:rsid w:val="00F06813"/>
    <w:rsid w:val="00F126FC"/>
    <w:rsid w:val="00F13A79"/>
    <w:rsid w:val="00F3428F"/>
    <w:rsid w:val="00F63B6B"/>
    <w:rsid w:val="00F76482"/>
    <w:rsid w:val="00F81309"/>
    <w:rsid w:val="00F9301D"/>
    <w:rsid w:val="00F93BD8"/>
    <w:rsid w:val="00F94BD3"/>
    <w:rsid w:val="00F962AA"/>
    <w:rsid w:val="00FB2CA2"/>
    <w:rsid w:val="00FB3F4F"/>
    <w:rsid w:val="00FB788D"/>
    <w:rsid w:val="00FD0D78"/>
    <w:rsid w:val="00FD2914"/>
    <w:rsid w:val="00FE29C3"/>
    <w:rsid w:val="00FE7BC3"/>
    <w:rsid w:val="05222A74"/>
    <w:rsid w:val="1EAA456B"/>
    <w:rsid w:val="22234BA7"/>
    <w:rsid w:val="2601C748"/>
    <w:rsid w:val="2C5FF41C"/>
    <w:rsid w:val="38001171"/>
    <w:rsid w:val="3A4FE7BD"/>
    <w:rsid w:val="4100331B"/>
    <w:rsid w:val="53C9797B"/>
    <w:rsid w:val="5BE9BEBC"/>
    <w:rsid w:val="5DED7A63"/>
    <w:rsid w:val="6BC92083"/>
    <w:rsid w:val="76620C2E"/>
    <w:rsid w:val="7FF06F65"/>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on="f" color="white"/>
      <v:stroke on="f"/>
    </o:shapedefaults>
    <o:shapelayout v:ext="edit">
      <o:idmap v:ext="edit" data="2"/>
    </o:shapelayout>
  </w:shapeDefaults>
  <w:decimalSymbol w:val=","/>
  <w:listSeparator w:val=";"/>
  <w14:docId w14:val="3EE2886F"/>
  <w15:chartTrackingRefBased/>
  <w15:docId w15:val="{9AB1588E-963C-4C5C-B2A0-29E902F4F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it-IT" w:eastAsia="it-IT" w:bidi="ar-SA"/>
      </w:rPr>
    </w:rPrDefault>
    <w:pPrDefault/>
  </w:docDefaults>
  <w:latentStyles w:defLockedState="0" w:defUIPriority="0" w:defSemiHidden="0" w:defUnhideWhenUsed="0" w:defQFormat="0" w:count="376">
    <w:lsdException w:name="toc 2" w:uiPriority="39"/>
    <w:lsdException w:name="toc 3" w:uiPriority="39"/>
    <w:lsdException w:name="toc 4" w:uiPriority="39"/>
    <w:lsdException w:name="Title" w:uiPriority="10" w:qFormat="1"/>
    <w:lsdException w:name="Subtitle" w:uiPriority="11" w:qFormat="1"/>
    <w:lsdException w:name="Hyperlink"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e" w:default="1">
    <w:name w:val="Normal"/>
    <w:rsid w:val="003824AC"/>
    <w:pPr>
      <w:jc w:val="both"/>
    </w:pPr>
    <w:rPr>
      <w:rFonts w:ascii="Arial" w:hAnsi="Arial"/>
      <w:color w:val="0C0C0C" w:themeColor="text1"/>
    </w:rPr>
  </w:style>
  <w:style w:type="paragraph" w:styleId="Titolo10">
    <w:name w:val="heading 1"/>
    <w:basedOn w:val="Normale"/>
    <w:next w:val="Normale"/>
    <w:link w:val="Titolo1Carattere"/>
    <w:autoRedefine/>
    <w:rsid w:val="003824AC"/>
    <w:pPr>
      <w:keepNext/>
      <w:numPr>
        <w:numId w:val="1"/>
      </w:numPr>
      <w:tabs>
        <w:tab w:val="clear" w:pos="578"/>
        <w:tab w:val="num" w:pos="432"/>
      </w:tabs>
      <w:spacing w:before="720" w:after="240"/>
      <w:ind w:left="431" w:hanging="431"/>
      <w:jc w:val="left"/>
      <w:outlineLvl w:val="0"/>
    </w:pPr>
    <w:rPr>
      <w:rFonts w:cs="Arial"/>
      <w:b/>
      <w:iCs/>
      <w:caps/>
      <w:color w:val="BE0036"/>
      <w:sz w:val="28"/>
    </w:rPr>
  </w:style>
  <w:style w:type="paragraph" w:styleId="Titolo2">
    <w:name w:val="heading 2"/>
    <w:basedOn w:val="Normale"/>
    <w:next w:val="Normale"/>
    <w:link w:val="Titolo2Carattere"/>
    <w:autoRedefine/>
    <w:rsid w:val="00682BA0"/>
    <w:pPr>
      <w:keepNext/>
      <w:numPr>
        <w:ilvl w:val="1"/>
        <w:numId w:val="1"/>
      </w:numPr>
      <w:tabs>
        <w:tab w:val="clear" w:pos="576"/>
        <w:tab w:val="num" w:pos="426"/>
      </w:tabs>
      <w:spacing w:before="240" w:line="360" w:lineRule="auto"/>
      <w:jc w:val="left"/>
      <w:outlineLvl w:val="1"/>
    </w:pPr>
    <w:rPr>
      <w:rFonts w:asciiTheme="minorHAnsi" w:hAnsiTheme="minorHAnsi" w:cstheme="minorHAnsi"/>
      <w:b/>
      <w:i/>
      <w:iCs/>
      <w:sz w:val="16"/>
    </w:rPr>
  </w:style>
  <w:style w:type="paragraph" w:styleId="Titolo3">
    <w:name w:val="heading 3"/>
    <w:basedOn w:val="Normale"/>
    <w:next w:val="Normale"/>
    <w:autoRedefine/>
    <w:rsid w:val="00C51F85"/>
    <w:pPr>
      <w:keepNext/>
      <w:numPr>
        <w:ilvl w:val="2"/>
        <w:numId w:val="2"/>
      </w:numPr>
      <w:spacing w:before="240" w:after="240"/>
      <w:jc w:val="left"/>
      <w:outlineLvl w:val="2"/>
    </w:pPr>
    <w:rPr>
      <w:b/>
      <w:i/>
      <w:sz w:val="22"/>
    </w:rPr>
  </w:style>
  <w:style w:type="paragraph" w:styleId="Titolo4">
    <w:name w:val="heading 4"/>
    <w:basedOn w:val="Normale"/>
    <w:next w:val="Normale"/>
    <w:rsid w:val="00BC3FDC"/>
    <w:pPr>
      <w:keepNext/>
      <w:numPr>
        <w:ilvl w:val="3"/>
        <w:numId w:val="2"/>
      </w:numPr>
      <w:spacing w:before="120" w:after="120"/>
      <w:jc w:val="left"/>
      <w:outlineLvl w:val="3"/>
    </w:pPr>
    <w:rPr>
      <w:b/>
    </w:rPr>
  </w:style>
  <w:style w:type="paragraph" w:styleId="Titolo5">
    <w:name w:val="heading 5"/>
    <w:aliases w:val="h5,H5,MR liv. 5"/>
    <w:basedOn w:val="Normale"/>
    <w:next w:val="Normale"/>
    <w:rsid w:val="00BC3FDC"/>
    <w:pPr>
      <w:numPr>
        <w:ilvl w:val="4"/>
        <w:numId w:val="2"/>
      </w:numPr>
      <w:spacing w:before="240" w:after="60"/>
      <w:jc w:val="left"/>
      <w:outlineLvl w:val="4"/>
    </w:pPr>
    <w:rPr>
      <w:sz w:val="22"/>
    </w:rPr>
  </w:style>
  <w:style w:type="paragraph" w:styleId="Titolo6">
    <w:name w:val="heading 6"/>
    <w:basedOn w:val="Normale"/>
    <w:next w:val="Normale"/>
    <w:rsid w:val="00BC3FDC"/>
    <w:pPr>
      <w:numPr>
        <w:ilvl w:val="5"/>
        <w:numId w:val="2"/>
      </w:numPr>
      <w:spacing w:before="240" w:after="60"/>
      <w:jc w:val="left"/>
      <w:outlineLvl w:val="5"/>
    </w:pPr>
    <w:rPr>
      <w:i/>
      <w:sz w:val="22"/>
    </w:rPr>
  </w:style>
  <w:style w:type="paragraph" w:styleId="Titolo7">
    <w:name w:val="heading 7"/>
    <w:basedOn w:val="Normale"/>
    <w:next w:val="Normale"/>
    <w:rsid w:val="00BC3FDC"/>
    <w:pPr>
      <w:numPr>
        <w:ilvl w:val="6"/>
        <w:numId w:val="2"/>
      </w:numPr>
      <w:spacing w:before="240" w:after="60"/>
      <w:outlineLvl w:val="6"/>
    </w:pPr>
  </w:style>
  <w:style w:type="paragraph" w:styleId="Titolo8">
    <w:name w:val="heading 8"/>
    <w:basedOn w:val="Normale"/>
    <w:next w:val="Normale"/>
    <w:rsid w:val="00BC3FDC"/>
    <w:pPr>
      <w:numPr>
        <w:ilvl w:val="7"/>
        <w:numId w:val="2"/>
      </w:numPr>
      <w:spacing w:before="240" w:after="60"/>
      <w:jc w:val="left"/>
      <w:outlineLvl w:val="7"/>
    </w:pPr>
    <w:rPr>
      <w:i/>
    </w:rPr>
  </w:style>
  <w:style w:type="paragraph" w:styleId="Titolo9">
    <w:name w:val="heading 9"/>
    <w:aliases w:val="Appendix,App Heading"/>
    <w:basedOn w:val="Normale"/>
    <w:next w:val="Normale"/>
    <w:rsid w:val="00BC3FDC"/>
    <w:pPr>
      <w:numPr>
        <w:ilvl w:val="8"/>
        <w:numId w:val="2"/>
      </w:numPr>
      <w:spacing w:before="240" w:after="60"/>
      <w:jc w:val="left"/>
      <w:outlineLvl w:val="8"/>
    </w:pPr>
    <w:rPr>
      <w:b/>
      <w:i/>
      <w:sz w:val="18"/>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Codificato" w:customStyle="1">
    <w:name w:val="Codificato"/>
    <w:basedOn w:val="Normale"/>
    <w:pPr>
      <w:spacing w:before="120" w:after="120" w:line="360" w:lineRule="auto"/>
    </w:pPr>
    <w:rPr>
      <w:b/>
      <w:kern w:val="2"/>
      <w:sz w:val="24"/>
    </w:rPr>
  </w:style>
  <w:style w:type="paragraph" w:styleId="Sommario1">
    <w:name w:val="toc 1"/>
    <w:basedOn w:val="Normale"/>
    <w:next w:val="Normale"/>
    <w:semiHidden/>
    <w:pPr>
      <w:spacing w:before="240" w:after="240"/>
      <w:jc w:val="left"/>
    </w:pPr>
    <w:rPr>
      <w:rFonts w:ascii="Century Gothic" w:hAnsi="Century Gothic" w:eastAsia="Century Gothic" w:cs="Century Gothic"/>
      <w:b/>
      <w:bCs/>
      <w:color w:val="303232"/>
      <w:sz w:val="18"/>
      <w:szCs w:val="18"/>
      <w:lang w:val="it-IT"/>
    </w:rPr>
  </w:style>
  <w:style w:type="paragraph" w:styleId="Sommario2">
    <w:name w:val="toc 2"/>
    <w:basedOn w:val="Normale"/>
    <w:next w:val="Normale"/>
    <w:uiPriority w:val="39"/>
    <w:pPr>
      <w:spacing w:before="180" w:after="120"/>
      <w:jc w:val="left"/>
    </w:pPr>
    <w:rPr>
      <w:rFonts w:ascii="Century Gothic" w:hAnsi="Century Gothic" w:eastAsia="Century Gothic" w:cs="Century Gothic"/>
      <w:color w:val="303232"/>
      <w:sz w:val="17"/>
      <w:szCs w:val="17"/>
      <w:lang w:val="it-IT"/>
    </w:rPr>
  </w:style>
  <w:style w:type="paragraph" w:styleId="Sommario3">
    <w:name w:val="toc 3"/>
    <w:basedOn w:val="Normale"/>
    <w:next w:val="Normale"/>
    <w:uiPriority w:val="39"/>
    <w:pPr>
      <w:ind w:left="432"/>
      <w:jc w:val="left"/>
    </w:pPr>
    <w:rPr>
      <w:smallCaps/>
    </w:rPr>
  </w:style>
  <w:style w:type="paragraph" w:styleId="Testopredefinito" w:customStyle="1">
    <w:name w:val="Testo predefinito"/>
    <w:basedOn w:val="Normale"/>
    <w:pPr>
      <w:spacing w:after="120" w:line="360" w:lineRule="auto"/>
    </w:pPr>
    <w:rPr>
      <w:sz w:val="24"/>
      <w:lang w:val="x-none"/>
    </w:rPr>
  </w:style>
  <w:style w:type="paragraph" w:styleId="primorientro" w:customStyle="1">
    <w:name w:val="primo rientro"/>
    <w:basedOn w:val="Normale"/>
    <w:pPr>
      <w:spacing w:before="120" w:after="120" w:line="360" w:lineRule="auto"/>
      <w:ind w:left="1021" w:hanging="170"/>
    </w:pPr>
    <w:rPr>
      <w:sz w:val="24"/>
    </w:rPr>
  </w:style>
  <w:style w:type="paragraph" w:styleId="Intestazione">
    <w:name w:val="header"/>
    <w:basedOn w:val="Normale"/>
    <w:pPr>
      <w:tabs>
        <w:tab w:val="center" w:pos="4819"/>
        <w:tab w:val="right" w:pos="9638"/>
      </w:tabs>
      <w:jc w:val="left"/>
    </w:pPr>
    <w:rPr>
      <w:sz w:val="28"/>
    </w:rPr>
  </w:style>
  <w:style w:type="paragraph" w:styleId="Pidipagina">
    <w:name w:val="footer"/>
    <w:basedOn w:val="Normale"/>
    <w:rPr>
      <w:i/>
    </w:rPr>
  </w:style>
  <w:style w:type="character" w:styleId="Numeropagina">
    <w:name w:val="page number"/>
    <w:rPr>
      <w:rFonts w:ascii="Arial" w:hAnsi="Arial"/>
      <w:color w:val="auto"/>
      <w:spacing w:val="0"/>
      <w:kern w:val="0"/>
      <w:position w:val="0"/>
      <w:sz w:val="20"/>
      <w:u w:val="none"/>
      <w:vertAlign w:val="baseline"/>
    </w:rPr>
  </w:style>
  <w:style w:type="paragraph" w:styleId="Sommario4">
    <w:name w:val="toc 4"/>
    <w:basedOn w:val="Normale"/>
    <w:next w:val="Normale"/>
    <w:autoRedefine/>
    <w:uiPriority w:val="39"/>
    <w:rsid w:val="00885563"/>
    <w:pPr>
      <w:tabs>
        <w:tab w:val="left" w:pos="1814"/>
        <w:tab w:val="right" w:leader="dot" w:pos="9629"/>
      </w:tabs>
      <w:ind w:left="998"/>
      <w:jc w:val="left"/>
    </w:pPr>
    <w:rPr>
      <w:smallCaps/>
      <w:noProof/>
      <w:sz w:val="18"/>
      <w:szCs w:val="16"/>
    </w:rPr>
  </w:style>
  <w:style w:type="paragraph" w:styleId="Sommario5">
    <w:name w:val="toc 5"/>
    <w:basedOn w:val="Normale"/>
    <w:next w:val="Normale"/>
    <w:semiHidden/>
    <w:pPr>
      <w:jc w:val="left"/>
    </w:pPr>
    <w:rPr>
      <w:sz w:val="22"/>
    </w:rPr>
  </w:style>
  <w:style w:type="paragraph" w:styleId="Sommario6">
    <w:name w:val="toc 6"/>
    <w:basedOn w:val="Normale"/>
    <w:next w:val="Normale"/>
    <w:semiHidden/>
    <w:pPr>
      <w:jc w:val="left"/>
    </w:pPr>
    <w:rPr>
      <w:sz w:val="22"/>
    </w:rPr>
  </w:style>
  <w:style w:type="paragraph" w:styleId="Sommario7">
    <w:name w:val="toc 7"/>
    <w:basedOn w:val="Normale"/>
    <w:next w:val="Normale"/>
    <w:semiHidden/>
    <w:pPr>
      <w:jc w:val="left"/>
    </w:pPr>
    <w:rPr>
      <w:sz w:val="22"/>
    </w:rPr>
  </w:style>
  <w:style w:type="paragraph" w:styleId="Sommario8">
    <w:name w:val="toc 8"/>
    <w:basedOn w:val="Normale"/>
    <w:next w:val="Normale"/>
    <w:semiHidden/>
    <w:pPr>
      <w:jc w:val="left"/>
    </w:pPr>
    <w:rPr>
      <w:sz w:val="22"/>
    </w:rPr>
  </w:style>
  <w:style w:type="paragraph" w:styleId="Sommario9">
    <w:name w:val="toc 9"/>
    <w:basedOn w:val="Normale"/>
    <w:next w:val="Normale"/>
    <w:semiHidden/>
    <w:pPr>
      <w:jc w:val="left"/>
    </w:pPr>
    <w:rPr>
      <w:sz w:val="22"/>
    </w:rPr>
  </w:style>
  <w:style w:type="paragraph" w:styleId="Titolo">
    <w:name w:val="Title"/>
    <w:basedOn w:val="Normale"/>
    <w:link w:val="TitoloCarattere"/>
    <w:uiPriority w:val="10"/>
    <w:qFormat/>
    <w:rsid w:val="00536BC4"/>
    <w:pPr>
      <w:jc w:val="center"/>
    </w:pPr>
    <w:rPr>
      <w:rFonts w:ascii="Century Gothic" w:hAnsi="Century Gothic"/>
      <w:b/>
      <w:sz w:val="72"/>
    </w:rPr>
  </w:style>
  <w:style w:type="paragraph" w:styleId="Mappadocumento">
    <w:name w:val="Document Map"/>
    <w:basedOn w:val="Normale"/>
    <w:semiHidden/>
    <w:pPr>
      <w:shd w:val="clear" w:color="auto" w:fill="000080"/>
    </w:pPr>
    <w:rPr>
      <w:rFonts w:ascii="Tahoma" w:hAnsi="Tahoma"/>
    </w:rPr>
  </w:style>
  <w:style w:type="paragraph" w:styleId="Sottotitolo">
    <w:name w:val="Subtitle"/>
    <w:basedOn w:val="Normale"/>
    <w:link w:val="SottotitoloCarattere"/>
    <w:uiPriority w:val="11"/>
    <w:qFormat/>
    <w:rsid w:val="00536BC4"/>
    <w:pPr>
      <w:jc w:val="center"/>
    </w:pPr>
    <w:rPr>
      <w:rFonts w:ascii="Century Gothic" w:hAnsi="Century Gothic"/>
      <w:b/>
      <w:sz w:val="32"/>
    </w:rPr>
  </w:style>
  <w:style w:type="paragraph" w:styleId="Rientrocorpodeltesto">
    <w:name w:val="Body Text Indent"/>
    <w:basedOn w:val="Normale"/>
    <w:pPr>
      <w:ind w:left="1843" w:firstLine="281"/>
    </w:pPr>
    <w:rPr>
      <w:sz w:val="32"/>
    </w:rPr>
  </w:style>
  <w:style w:type="paragraph" w:styleId="Rientrocorpodeltesto2">
    <w:name w:val="Body Text Indent 2"/>
    <w:basedOn w:val="Normale"/>
    <w:pPr>
      <w:ind w:left="1843"/>
      <w:jc w:val="left"/>
    </w:pPr>
    <w:rPr>
      <w:sz w:val="28"/>
    </w:rPr>
  </w:style>
  <w:style w:type="paragraph" w:styleId="Rientrocorpodeltesto3">
    <w:name w:val="Body Text Indent 3"/>
    <w:basedOn w:val="Normale"/>
    <w:pPr>
      <w:ind w:left="1701"/>
      <w:jc w:val="left"/>
    </w:pPr>
    <w:rPr>
      <w:sz w:val="28"/>
    </w:rPr>
  </w:style>
  <w:style w:type="paragraph" w:styleId="Corpodeltesto" w:customStyle="1">
    <w:name w:val="Corpo del testo"/>
    <w:basedOn w:val="Normale"/>
    <w:link w:val="CorpodeltestoCarattere"/>
    <w:qFormat/>
    <w:pPr>
      <w:ind w:firstLine="706"/>
    </w:pPr>
  </w:style>
  <w:style w:type="paragraph" w:styleId="Corpodeltesto2">
    <w:name w:val="Body Text 2"/>
    <w:basedOn w:val="Normale"/>
    <w:rPr>
      <w:color w:val="000000"/>
      <w:sz w:val="28"/>
    </w:rPr>
  </w:style>
  <w:style w:type="character" w:styleId="Rimandocommento">
    <w:name w:val="annotation reference"/>
    <w:semiHidden/>
    <w:rPr>
      <w:sz w:val="16"/>
    </w:rPr>
  </w:style>
  <w:style w:type="paragraph" w:styleId="Testocommento">
    <w:name w:val="annotation text"/>
    <w:basedOn w:val="Normale"/>
    <w:autoRedefine/>
    <w:semiHidden/>
    <w:rsid w:val="00372D4B"/>
    <w:rPr>
      <w:sz w:val="14"/>
    </w:rPr>
  </w:style>
  <w:style w:type="paragraph" w:styleId="Didascalia">
    <w:name w:val="caption"/>
    <w:basedOn w:val="Normale"/>
    <w:next w:val="Normale"/>
    <w:rPr>
      <w:b/>
    </w:rPr>
  </w:style>
  <w:style w:type="paragraph" w:styleId="Stile1" w:customStyle="1">
    <w:name w:val="Stile1"/>
    <w:basedOn w:val="Normale"/>
    <w:pPr>
      <w:jc w:val="left"/>
    </w:pPr>
    <w:rPr>
      <w:smallCaps/>
      <w:szCs w:val="24"/>
    </w:rPr>
  </w:style>
  <w:style w:type="paragraph" w:styleId="Stile2" w:customStyle="1">
    <w:name w:val="Stile2"/>
    <w:basedOn w:val="Normale"/>
    <w:pPr>
      <w:jc w:val="left"/>
    </w:pPr>
    <w:rPr>
      <w:szCs w:val="24"/>
    </w:rPr>
  </w:style>
  <w:style w:type="paragraph" w:styleId="TitoloPrincipale" w:customStyle="1">
    <w:name w:val="Titolo Principale"/>
    <w:basedOn w:val="Titolo"/>
    <w:link w:val="TitoloPrincipaleCarattere"/>
    <w:autoRedefine/>
    <w:rsid w:val="003824AC"/>
    <w:rPr>
      <w:rFonts w:cs="Arial"/>
      <w:color w:val="BE0036"/>
      <w:sz w:val="64"/>
      <w:szCs w:val="64"/>
    </w:rPr>
  </w:style>
  <w:style w:type="paragraph" w:styleId="TitoloSecondario" w:customStyle="1">
    <w:name w:val="Titolo Secondario"/>
    <w:basedOn w:val="Titolo"/>
    <w:autoRedefine/>
    <w:rsid w:val="00BD3AD5"/>
    <w:pPr>
      <w:spacing w:before="120"/>
    </w:pPr>
    <w:rPr>
      <w:b w:val="0"/>
      <w:smallCaps/>
      <w:sz w:val="44"/>
      <w:szCs w:val="44"/>
    </w:rPr>
  </w:style>
  <w:style w:type="paragraph" w:styleId="Stile3" w:customStyle="1">
    <w:name w:val="Stile3"/>
    <w:basedOn w:val="Titolo2"/>
    <w:pPr>
      <w:ind w:left="0" w:firstLine="0"/>
      <w:jc w:val="center"/>
    </w:pPr>
    <w:rPr>
      <w:b w:val="0"/>
      <w:i w:val="0"/>
      <w:iCs w:val="0"/>
      <w:spacing w:val="20"/>
      <w:szCs w:val="24"/>
    </w:rPr>
  </w:style>
  <w:style w:type="character" w:styleId="Collegamentoipertestuale">
    <w:name w:val="Hyperlink"/>
    <w:uiPriority w:val="99"/>
    <w:rPr>
      <w:color w:val="0000FF"/>
      <w:u w:val="single"/>
    </w:rPr>
  </w:style>
  <w:style w:type="character" w:styleId="Collegamentovisitato">
    <w:name w:val="FollowedHyperlink"/>
    <w:rPr>
      <w:color w:val="800080"/>
      <w:u w:val="single"/>
    </w:rPr>
  </w:style>
  <w:style w:type="paragraph" w:styleId="Destinatario" w:customStyle="1">
    <w:name w:val="Destinatario"/>
    <w:basedOn w:val="Normale"/>
    <w:pPr>
      <w:spacing w:after="80" w:line="240" w:lineRule="exact"/>
      <w:jc w:val="left"/>
    </w:pPr>
    <w:rPr>
      <w:color w:val="000000"/>
      <w:sz w:val="22"/>
    </w:rPr>
  </w:style>
  <w:style w:type="paragraph" w:styleId="Oggetto" w:customStyle="1">
    <w:name w:val="Oggetto"/>
    <w:basedOn w:val="Normale"/>
    <w:pPr>
      <w:tabs>
        <w:tab w:val="left" w:pos="1720"/>
        <w:tab w:val="left" w:pos="4700"/>
      </w:tabs>
      <w:spacing w:after="80" w:line="240" w:lineRule="exact"/>
      <w:ind w:left="1720" w:right="20" w:hanging="1720"/>
      <w:jc w:val="left"/>
    </w:pPr>
    <w:rPr>
      <w:b/>
      <w:color w:val="000000"/>
    </w:rPr>
  </w:style>
  <w:style w:type="paragraph" w:styleId="Firma">
    <w:name w:val="Signature"/>
    <w:basedOn w:val="Normale"/>
    <w:pPr>
      <w:tabs>
        <w:tab w:val="left" w:pos="1720"/>
        <w:tab w:val="left" w:pos="4700"/>
      </w:tabs>
      <w:spacing w:after="80" w:line="240" w:lineRule="exact"/>
      <w:ind w:left="5660" w:right="20"/>
      <w:jc w:val="center"/>
    </w:pPr>
    <w:rPr>
      <w:color w:val="000000"/>
    </w:rPr>
  </w:style>
  <w:style w:type="paragraph" w:styleId="Puntoelenco">
    <w:name w:val="List Bullet"/>
    <w:basedOn w:val="Elenco"/>
    <w:autoRedefine/>
    <w:pPr>
      <w:spacing w:line="240" w:lineRule="atLeast"/>
      <w:ind w:right="720"/>
    </w:pPr>
    <w:rPr>
      <w:sz w:val="22"/>
      <w:lang w:val="en-GB"/>
    </w:rPr>
  </w:style>
  <w:style w:type="paragraph" w:styleId="Elenco">
    <w:name w:val="List"/>
    <w:basedOn w:val="Normale"/>
    <w:pPr>
      <w:ind w:left="283" w:hanging="283"/>
    </w:pPr>
  </w:style>
  <w:style w:type="paragraph" w:styleId="SectionHeading" w:customStyle="1">
    <w:name w:val="Section Heading"/>
    <w:basedOn w:val="Titolo10"/>
    <w:pPr>
      <w:keepNext w:val="0"/>
      <w:spacing w:before="480" w:line="240" w:lineRule="atLeast"/>
      <w:ind w:left="425" w:hanging="425"/>
      <w:outlineLvl w:val="9"/>
    </w:pPr>
    <w:rPr>
      <w:i/>
      <w:iCs w:val="0"/>
      <w:spacing w:val="20"/>
      <w:kern w:val="16"/>
      <w:lang w:val="en-GB"/>
    </w:rPr>
  </w:style>
  <w:style w:type="paragraph" w:styleId="Tabellatitolo" w:customStyle="1">
    <w:name w:val="Tabella titolo"/>
    <w:basedOn w:val="Normale"/>
    <w:pPr>
      <w:tabs>
        <w:tab w:val="left" w:pos="1720"/>
        <w:tab w:val="left" w:pos="4700"/>
      </w:tabs>
      <w:spacing w:before="100" w:after="100" w:line="220" w:lineRule="exact"/>
      <w:jc w:val="center"/>
    </w:pPr>
    <w:rPr>
      <w:b/>
      <w:color w:val="000000"/>
    </w:rPr>
  </w:style>
  <w:style w:type="paragraph" w:styleId="Tabellatesto" w:customStyle="1">
    <w:name w:val="Tabella testo"/>
    <w:basedOn w:val="Normale"/>
    <w:pPr>
      <w:tabs>
        <w:tab w:val="left" w:pos="1720"/>
        <w:tab w:val="left" w:pos="4700"/>
      </w:tabs>
      <w:spacing w:before="120" w:after="120" w:line="220" w:lineRule="exact"/>
      <w:jc w:val="left"/>
    </w:pPr>
    <w:rPr>
      <w:color w:val="000000"/>
    </w:rPr>
  </w:style>
  <w:style w:type="paragraph" w:styleId="Bordotesto" w:customStyle="1">
    <w:name w:val="Bordo testo"/>
    <w:basedOn w:val="Normale"/>
    <w:pPr>
      <w:pBdr>
        <w:top w:val="single" w:color="auto" w:sz="6" w:space="11"/>
        <w:left w:val="single" w:color="auto" w:sz="6" w:space="11"/>
        <w:bottom w:val="single" w:color="auto" w:sz="6" w:space="11"/>
        <w:right w:val="single" w:color="auto" w:sz="6" w:space="11"/>
      </w:pBdr>
      <w:tabs>
        <w:tab w:val="left" w:pos="1720"/>
        <w:tab w:val="left" w:pos="4700"/>
      </w:tabs>
      <w:spacing w:after="80" w:line="240" w:lineRule="exact"/>
      <w:ind w:left="284" w:right="284"/>
      <w:jc w:val="left"/>
    </w:pPr>
    <w:rPr>
      <w:color w:val="000000"/>
    </w:rPr>
  </w:style>
  <w:style w:type="paragraph" w:styleId="Allegati" w:customStyle="1">
    <w:name w:val="Allegati"/>
    <w:basedOn w:val="Normale"/>
    <w:pPr>
      <w:pageBreakBefore/>
      <w:spacing w:before="240" w:after="240"/>
      <w:ind w:left="1843" w:hanging="1843"/>
      <w:jc w:val="left"/>
    </w:pPr>
    <w:rPr>
      <w:b/>
      <w:caps/>
    </w:rPr>
  </w:style>
  <w:style w:type="paragraph" w:styleId="Testotabella" w:customStyle="1">
    <w:name w:val="Testo tabella"/>
    <w:basedOn w:val="Normale"/>
    <w:pPr>
      <w:spacing w:before="60" w:after="20" w:line="240" w:lineRule="atLeast"/>
      <w:jc w:val="left"/>
    </w:pPr>
    <w:rPr>
      <w:color w:val="000000"/>
    </w:rPr>
  </w:style>
  <w:style w:type="paragraph" w:styleId="pallino1" w:customStyle="1">
    <w:name w:val="pallino 1"/>
    <w:basedOn w:val="Normale"/>
    <w:pPr>
      <w:spacing w:after="80" w:line="240" w:lineRule="exact"/>
      <w:ind w:left="280" w:hanging="280"/>
    </w:pPr>
    <w:rPr>
      <w:color w:val="000000"/>
      <w:lang w:val="en-US"/>
    </w:rPr>
  </w:style>
  <w:style w:type="paragraph" w:styleId="TitoloAllegato" w:customStyle="1">
    <w:name w:val="Titolo Allegato"/>
    <w:basedOn w:val="Normale"/>
    <w:next w:val="Normale"/>
    <w:pPr>
      <w:spacing w:before="240" w:after="240"/>
    </w:pPr>
    <w:rPr>
      <w:b/>
      <w:sz w:val="28"/>
      <w:lang w:val="en-GB"/>
    </w:rPr>
  </w:style>
  <w:style w:type="paragraph" w:styleId="Corpodeltesto3">
    <w:name w:val="Body Text 3"/>
    <w:basedOn w:val="Normale"/>
    <w:pPr>
      <w:autoSpaceDE w:val="0"/>
      <w:autoSpaceDN w:val="0"/>
      <w:adjustRightInd w:val="0"/>
      <w:spacing w:line="240" w:lineRule="atLeast"/>
    </w:pPr>
    <w:rPr>
      <w:color w:val="000000"/>
      <w:szCs w:val="16"/>
    </w:rPr>
  </w:style>
  <w:style w:type="paragraph" w:styleId="Testofumetto">
    <w:name w:val="Balloon Text"/>
    <w:basedOn w:val="Normale"/>
    <w:semiHidden/>
    <w:rsid w:val="00EE2FD1"/>
    <w:rPr>
      <w:rFonts w:ascii="Tahoma" w:hAnsi="Tahoma" w:cs="Tahoma"/>
      <w:sz w:val="16"/>
      <w:szCs w:val="16"/>
    </w:rPr>
  </w:style>
  <w:style w:type="table" w:styleId="Grigliatabella">
    <w:name w:val="Table Grid"/>
    <w:basedOn w:val="Tabellanormale"/>
    <w:rsid w:val="007E6816"/>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olo1" w:customStyle="1">
    <w:name w:val="Titolo1"/>
    <w:basedOn w:val="TitoloAllegato"/>
    <w:link w:val="TitleCarattere"/>
    <w:qFormat/>
    <w:rsid w:val="0080024F"/>
    <w:pPr>
      <w:numPr>
        <w:numId w:val="7"/>
      </w:numPr>
    </w:pPr>
    <w:rPr>
      <w:sz w:val="20"/>
      <w:szCs w:val="24"/>
      <w:lang w:val="it-IT"/>
    </w:rPr>
  </w:style>
  <w:style w:type="character" w:styleId="Stile10pt" w:customStyle="1">
    <w:name w:val="Stile 10 pt"/>
    <w:rsid w:val="00494842"/>
    <w:rPr>
      <w:rFonts w:ascii="Verdana" w:hAnsi="Verdana"/>
      <w:sz w:val="20"/>
    </w:rPr>
  </w:style>
  <w:style w:type="paragraph" w:styleId="StileTitolo114pt" w:customStyle="1">
    <w:name w:val="Stile Titolo 1 + 14 pt"/>
    <w:basedOn w:val="Titolo10"/>
    <w:rsid w:val="00494842"/>
    <w:rPr>
      <w:bCs/>
    </w:rPr>
  </w:style>
  <w:style w:type="character" w:styleId="Stile9pt" w:customStyle="1">
    <w:name w:val="Stile 9 pt"/>
    <w:rsid w:val="00494842"/>
    <w:rPr>
      <w:rFonts w:ascii="Verdana" w:hAnsi="Verdana"/>
      <w:sz w:val="18"/>
    </w:rPr>
  </w:style>
  <w:style w:type="paragraph" w:styleId="StileTitolo212pt" w:customStyle="1">
    <w:name w:val="Stile Titolo 2 + 12 pt"/>
    <w:basedOn w:val="Titolo2"/>
    <w:next w:val="Normale"/>
    <w:autoRedefine/>
    <w:rsid w:val="00C521D6"/>
    <w:rPr>
      <w:bCs/>
    </w:rPr>
  </w:style>
  <w:style w:type="paragraph" w:styleId="StileStileTitolo212ptNonCorsivo" w:customStyle="1">
    <w:name w:val="Stile Stile Titolo 2 + 12 pt + Non Corsivo"/>
    <w:basedOn w:val="StileTitolo212pt"/>
    <w:rsid w:val="00494842"/>
    <w:rPr>
      <w:i w:val="0"/>
      <w:iCs w:val="0"/>
    </w:rPr>
  </w:style>
  <w:style w:type="paragraph" w:styleId="StileStileStileTitolo212ptNonCorsivoNonCorsivo" w:customStyle="1">
    <w:name w:val="Stile Stile Stile Titolo 2 + 12 pt + Non Corsivo + Non Corsivo"/>
    <w:basedOn w:val="StileStileTitolo212ptNonCorsivo"/>
    <w:rsid w:val="00C521D6"/>
  </w:style>
  <w:style w:type="paragraph" w:styleId="Soggettocommento">
    <w:name w:val="annotation subject"/>
    <w:basedOn w:val="Testocommento"/>
    <w:next w:val="Testocommento"/>
    <w:semiHidden/>
    <w:rsid w:val="00AE2996"/>
    <w:rPr>
      <w:b/>
      <w:bCs/>
    </w:rPr>
  </w:style>
  <w:style w:type="paragraph" w:styleId="Richiamo1" w:customStyle="1">
    <w:name w:val="Richiamo 1"/>
    <w:basedOn w:val="Normale"/>
    <w:link w:val="Richiamo1Carattere"/>
    <w:rsid w:val="00C51F85"/>
    <w:pPr>
      <w:autoSpaceDE w:val="0"/>
      <w:autoSpaceDN w:val="0"/>
      <w:adjustRightInd w:val="0"/>
      <w:ind w:left="360" w:hanging="360"/>
      <w:jc w:val="left"/>
    </w:pPr>
    <w:rPr>
      <w:rFonts w:ascii="Times New Roman" w:hAnsi="Times New Roman"/>
      <w:sz w:val="24"/>
      <w:szCs w:val="24"/>
      <w:lang w:val="en-US"/>
    </w:rPr>
  </w:style>
  <w:style w:type="paragraph" w:styleId="Corpodeltesto31" w:customStyle="1">
    <w:name w:val="Corpo del testo 31"/>
    <w:basedOn w:val="Normale"/>
    <w:rsid w:val="00C51F85"/>
    <w:rPr>
      <w:rFonts w:ascii="Times New Roman" w:hAnsi="Times New Roman"/>
      <w:sz w:val="22"/>
    </w:rPr>
  </w:style>
  <w:style w:type="paragraph" w:styleId="Testonotaapidipagina">
    <w:name w:val="footnote text"/>
    <w:basedOn w:val="Normale"/>
    <w:autoRedefine/>
    <w:semiHidden/>
    <w:rsid w:val="00687B19"/>
    <w:rPr>
      <w:sz w:val="16"/>
    </w:rPr>
  </w:style>
  <w:style w:type="character" w:styleId="Rimandonotaapidipagina">
    <w:name w:val="footnote reference"/>
    <w:semiHidden/>
    <w:rsid w:val="00687B19"/>
    <w:rPr>
      <w:rFonts w:ascii="Verdana" w:hAnsi="Verdana"/>
      <w:vertAlign w:val="superscript"/>
    </w:rPr>
  </w:style>
  <w:style w:type="paragraph" w:styleId="StileRichiamo1GrassettoCorsivo" w:customStyle="1">
    <w:name w:val="Stile Richiamo 1 + Grassetto Corsivo"/>
    <w:basedOn w:val="Richiamo1"/>
    <w:link w:val="StileRichiamo1GrassettoCorsivoCarattere"/>
    <w:rsid w:val="004A227F"/>
    <w:rPr>
      <w:rFonts w:ascii="Verdana" w:hAnsi="Verdana"/>
      <w:b/>
      <w:bCs/>
      <w:i/>
      <w:iCs/>
      <w:sz w:val="18"/>
    </w:rPr>
  </w:style>
  <w:style w:type="character" w:styleId="Richiamo1Carattere" w:customStyle="1">
    <w:name w:val="Richiamo 1 Carattere"/>
    <w:link w:val="Richiamo1"/>
    <w:rsid w:val="004A227F"/>
    <w:rPr>
      <w:sz w:val="24"/>
      <w:szCs w:val="24"/>
      <w:lang w:val="en-US" w:eastAsia="it-IT" w:bidi="ar-SA"/>
    </w:rPr>
  </w:style>
  <w:style w:type="character" w:styleId="StileRichiamo1GrassettoCorsivoCarattere" w:customStyle="1">
    <w:name w:val="Stile Richiamo 1 + Grassetto Corsivo Carattere"/>
    <w:link w:val="StileRichiamo1GrassettoCorsivo"/>
    <w:rsid w:val="004A227F"/>
    <w:rPr>
      <w:rFonts w:ascii="Verdana" w:hAnsi="Verdana"/>
      <w:b/>
      <w:bCs/>
      <w:i/>
      <w:iCs/>
      <w:sz w:val="18"/>
      <w:szCs w:val="24"/>
      <w:lang w:val="en-US" w:eastAsia="it-IT" w:bidi="ar-SA"/>
    </w:rPr>
  </w:style>
  <w:style w:type="paragraph" w:styleId="StileRichiamo1Giustificato" w:customStyle="1">
    <w:name w:val="Stile Richiamo 1 + Giustificato"/>
    <w:basedOn w:val="Richiamo1"/>
    <w:autoRedefine/>
    <w:rsid w:val="004A227F"/>
    <w:pPr>
      <w:jc w:val="both"/>
    </w:pPr>
    <w:rPr>
      <w:rFonts w:ascii="Verdana" w:hAnsi="Verdana"/>
      <w:sz w:val="20"/>
      <w:szCs w:val="20"/>
    </w:rPr>
  </w:style>
  <w:style w:type="paragraph" w:styleId="StileCorpodeltesto212pt" w:customStyle="1">
    <w:name w:val="Stile Corpo del testo 2 + 12 pt"/>
    <w:basedOn w:val="Corpodeltesto2"/>
    <w:link w:val="StileCorpodeltesto212ptCarattere"/>
    <w:rsid w:val="00970A33"/>
  </w:style>
  <w:style w:type="character" w:styleId="StileCorpodeltesto212ptCarattere" w:customStyle="1">
    <w:name w:val="Stile Corpo del testo 2 + 12 pt Carattere"/>
    <w:link w:val="StileCorpodeltesto212pt"/>
    <w:rsid w:val="00970A33"/>
    <w:rPr>
      <w:rFonts w:ascii="Verdana" w:hAnsi="Verdana"/>
      <w:color w:val="000000"/>
      <w:sz w:val="28"/>
      <w:lang w:val="it-IT" w:eastAsia="it-IT" w:bidi="ar-SA"/>
    </w:rPr>
  </w:style>
  <w:style w:type="paragraph" w:styleId="StileCorpodeltesto210ptCarattereCarattereCarattereCarattereCarattereCarattere" w:customStyle="1">
    <w:name w:val="Stile Corpo del testo 2 + 10 pt Carattere Carattere Carattere Carattere Carattere Carattere"/>
    <w:basedOn w:val="Corpodeltesto2"/>
    <w:link w:val="StileCorpodeltesto210ptCarattereCarattereCarattereCarattereCarattereCarattereCarattere"/>
    <w:rsid w:val="00970A33"/>
  </w:style>
  <w:style w:type="character" w:styleId="StileCorpodeltesto210ptCarattereCarattereCarattereCarattereCarattereCarattereCarattere" w:customStyle="1">
    <w:name w:val="Stile Corpo del testo 2 + 10 pt Carattere Carattere Carattere Carattere Carattere Carattere Carattere"/>
    <w:link w:val="StileCorpodeltesto210ptCarattereCarattereCarattereCarattereCarattereCarattere"/>
    <w:rsid w:val="00970A33"/>
    <w:rPr>
      <w:rFonts w:ascii="Verdana" w:hAnsi="Verdana"/>
      <w:color w:val="000000"/>
      <w:sz w:val="28"/>
      <w:lang w:val="it-IT" w:eastAsia="it-IT" w:bidi="ar-SA"/>
    </w:rPr>
  </w:style>
  <w:style w:type="paragraph" w:styleId="StileCorpodeltestoPrimariga0cm" w:customStyle="1">
    <w:name w:val="Stile Corpo del testo + Prima riga:  0 cm"/>
    <w:basedOn w:val="Corpodeltesto"/>
    <w:rsid w:val="00970A33"/>
    <w:pPr>
      <w:ind w:firstLine="0"/>
    </w:pPr>
    <w:rPr>
      <w:rFonts w:ascii="Times New Roman" w:hAnsi="Times New Roman"/>
    </w:rPr>
  </w:style>
  <w:style w:type="paragraph" w:styleId="StileTestocommento12pt" w:customStyle="1">
    <w:name w:val="Stile Testo commento + 12 pt"/>
    <w:basedOn w:val="Testocommento"/>
    <w:rsid w:val="00970A33"/>
    <w:rPr>
      <w:rFonts w:ascii="Times New Roman" w:hAnsi="Times New Roman"/>
      <w:sz w:val="20"/>
    </w:rPr>
  </w:style>
  <w:style w:type="paragraph" w:styleId="Corpotesto">
    <w:name w:val="Body Text"/>
    <w:basedOn w:val="Normale"/>
    <w:rsid w:val="00970A33"/>
    <w:pPr>
      <w:autoSpaceDE w:val="0"/>
      <w:autoSpaceDN w:val="0"/>
      <w:adjustRightInd w:val="0"/>
      <w:spacing w:line="538" w:lineRule="exact"/>
      <w:jc w:val="left"/>
    </w:pPr>
    <w:rPr>
      <w:rFonts w:ascii="Times New Roman" w:hAnsi="Times New Roman"/>
      <w:sz w:val="24"/>
      <w:szCs w:val="24"/>
    </w:rPr>
  </w:style>
  <w:style w:type="paragraph" w:styleId="Testonotadichiusura">
    <w:name w:val="endnote text"/>
    <w:basedOn w:val="Normale"/>
    <w:semiHidden/>
    <w:rsid w:val="000E561F"/>
    <w:rPr>
      <w:rFonts w:ascii="Times New Roman" w:hAnsi="Times New Roman"/>
    </w:rPr>
  </w:style>
  <w:style w:type="paragraph" w:styleId="StileCorpodeltesto210ptCarattereCarattereCarattereCarattereCarattere" w:customStyle="1">
    <w:name w:val="Stile Corpo del testo 2 + 10 pt Carattere Carattere Carattere Carattere Carattere"/>
    <w:basedOn w:val="Corpodeltesto2"/>
    <w:rsid w:val="0084472A"/>
  </w:style>
  <w:style w:type="paragraph" w:styleId="Bullett0" w:customStyle="1">
    <w:name w:val="Bullett 0"/>
    <w:basedOn w:val="Corpodeltesto2"/>
    <w:rsid w:val="0084472A"/>
    <w:pPr>
      <w:tabs>
        <w:tab w:val="num" w:pos="567"/>
      </w:tabs>
      <w:ind w:left="567" w:hanging="283"/>
      <w:jc w:val="left"/>
    </w:pPr>
    <w:rPr>
      <w:sz w:val="20"/>
    </w:rPr>
  </w:style>
  <w:style w:type="paragraph" w:styleId="DefaultParagraphFontChar" w:customStyle="1">
    <w:name w:val="Default Paragraph Font Char"/>
    <w:aliases w:val="Default Paragraph Font Para Char Char"/>
    <w:basedOn w:val="Normale"/>
    <w:rsid w:val="0022789E"/>
    <w:pPr>
      <w:spacing w:after="160" w:line="240" w:lineRule="exact"/>
      <w:jc w:val="left"/>
    </w:pPr>
    <w:rPr>
      <w:rFonts w:cs="Arial"/>
      <w:sz w:val="24"/>
      <w:lang w:val="en-US" w:eastAsia="en-US"/>
    </w:rPr>
  </w:style>
  <w:style w:type="paragraph" w:styleId="CarattereCarattereCarattereCarattere" w:customStyle="1">
    <w:name w:val="Carattere Carattere Carattere Carattere"/>
    <w:basedOn w:val="Normale"/>
    <w:rsid w:val="001E67C9"/>
    <w:pPr>
      <w:spacing w:after="160" w:line="240" w:lineRule="exact"/>
      <w:jc w:val="left"/>
    </w:pPr>
    <w:rPr>
      <w:rFonts w:cs="Arial"/>
      <w:sz w:val="24"/>
      <w:lang w:val="en-US" w:eastAsia="en-US"/>
    </w:rPr>
  </w:style>
  <w:style w:type="paragraph" w:styleId="TitoloParagrafo" w:customStyle="1">
    <w:name w:val="Titolo Paragrafo"/>
    <w:basedOn w:val="Titolo10"/>
    <w:link w:val="TitoloParagrafoCarattere"/>
    <w:qFormat/>
    <w:rsid w:val="00536BC4"/>
    <w:rPr>
      <w:rFonts w:ascii="Century Gothic" w:hAnsi="Century Gothic"/>
      <w:sz w:val="36"/>
    </w:rPr>
  </w:style>
  <w:style w:type="paragraph" w:styleId="Paragrafo" w:customStyle="1">
    <w:name w:val="Paragrafo"/>
    <w:basedOn w:val="Normale"/>
    <w:link w:val="ParagrafoCarattere"/>
    <w:qFormat/>
    <w:rsid w:val="00536BC4"/>
    <w:pPr>
      <w:spacing w:line="276" w:lineRule="auto"/>
    </w:pPr>
    <w:rPr>
      <w:rFonts w:ascii="Century Gothic" w:hAnsi="Century Gothic"/>
    </w:rPr>
  </w:style>
  <w:style w:type="character" w:styleId="Titolo1Carattere" w:customStyle="1">
    <w:name w:val="Titolo 1 Carattere"/>
    <w:basedOn w:val="Carpredefinitoparagrafo"/>
    <w:link w:val="Titolo10"/>
    <w:rsid w:val="003824AC"/>
    <w:rPr>
      <w:rFonts w:ascii="Arial" w:hAnsi="Arial" w:cs="Arial"/>
      <w:b/>
      <w:iCs/>
      <w:caps/>
      <w:color w:val="BE0036"/>
      <w:sz w:val="28"/>
    </w:rPr>
  </w:style>
  <w:style w:type="character" w:styleId="TitoloParagrafoCarattere" w:customStyle="1">
    <w:name w:val="Titolo Paragrafo Carattere"/>
    <w:basedOn w:val="Titolo1Carattere"/>
    <w:link w:val="TitoloParagrafo"/>
    <w:rsid w:val="00536BC4"/>
    <w:rPr>
      <w:rFonts w:ascii="Century Gothic" w:hAnsi="Century Gothic" w:cs="Arial"/>
      <w:b/>
      <w:iCs/>
      <w:caps/>
      <w:color w:val="BE0036"/>
      <w:sz w:val="36"/>
    </w:rPr>
  </w:style>
  <w:style w:type="character" w:styleId="ParagrafoCarattere" w:customStyle="1">
    <w:name w:val="Paragrafo Carattere"/>
    <w:basedOn w:val="Carpredefinitoparagrafo"/>
    <w:link w:val="Paragrafo"/>
    <w:rsid w:val="00536BC4"/>
    <w:rPr>
      <w:rFonts w:ascii="Century Gothic" w:hAnsi="Century Gothic"/>
      <w:color w:val="0C0C0C" w:themeColor="text1"/>
    </w:rPr>
  </w:style>
  <w:style w:type="paragraph" w:styleId="Paragrafoelenco">
    <w:name w:val="List Paragraph"/>
    <w:basedOn w:val="Normale"/>
    <w:uiPriority w:val="34"/>
    <w:rsid w:val="00551754"/>
    <w:pPr>
      <w:ind w:left="720"/>
      <w:contextualSpacing/>
    </w:pPr>
  </w:style>
  <w:style w:type="paragraph" w:styleId="Titoloofferta" w:customStyle="1">
    <w:name w:val="Titolo offerta"/>
    <w:basedOn w:val="TitoloPrincipale"/>
    <w:link w:val="TitolooffertaCarattere"/>
    <w:qFormat/>
    <w:rsid w:val="00536BC4"/>
  </w:style>
  <w:style w:type="paragraph" w:styleId="Sottoparagrafo" w:customStyle="1">
    <w:name w:val="Sottoparagrafo"/>
    <w:basedOn w:val="Titolo2"/>
    <w:link w:val="SottoparagrafoCarattere"/>
    <w:qFormat/>
    <w:rsid w:val="00536BC4"/>
    <w:pPr>
      <w:tabs>
        <w:tab w:val="num" w:pos="578"/>
      </w:tabs>
      <w:ind w:left="578" w:hanging="578"/>
    </w:pPr>
    <w:rPr>
      <w:rFonts w:ascii="Century Gothic" w:hAnsi="Century Gothic" w:cs="Arial"/>
    </w:rPr>
  </w:style>
  <w:style w:type="character" w:styleId="TitoloCarattere" w:customStyle="1">
    <w:name w:val="Titolo Carattere"/>
    <w:basedOn w:val="Carpredefinitoparagrafo"/>
    <w:link w:val="Titolo"/>
    <w:uiPriority w:val="10"/>
    <w:rsid w:val="00536BC4"/>
    <w:rPr>
      <w:rFonts w:ascii="Century Gothic" w:hAnsi="Century Gothic"/>
      <w:b/>
      <w:color w:val="0C0C0C" w:themeColor="text1"/>
      <w:sz w:val="72"/>
    </w:rPr>
  </w:style>
  <w:style w:type="character" w:styleId="TitoloPrincipaleCarattere" w:customStyle="1">
    <w:name w:val="Titolo Principale Carattere"/>
    <w:basedOn w:val="TitoloCarattere"/>
    <w:link w:val="TitoloPrincipale"/>
    <w:rsid w:val="009A5BC1"/>
    <w:rPr>
      <w:rFonts w:ascii="Arial" w:hAnsi="Arial" w:cs="Arial"/>
      <w:b/>
      <w:color w:val="BE0036"/>
      <w:sz w:val="64"/>
      <w:szCs w:val="64"/>
    </w:rPr>
  </w:style>
  <w:style w:type="character" w:styleId="TitolooffertaCarattere" w:customStyle="1">
    <w:name w:val="Titolo offerta Carattere"/>
    <w:basedOn w:val="TitoloPrincipaleCarattere"/>
    <w:link w:val="Titoloofferta"/>
    <w:rsid w:val="00536BC4"/>
    <w:rPr>
      <w:rFonts w:ascii="Century Gothic" w:hAnsi="Century Gothic" w:cs="Arial"/>
      <w:b/>
      <w:color w:val="BE0036"/>
      <w:sz w:val="64"/>
      <w:szCs w:val="64"/>
    </w:rPr>
  </w:style>
  <w:style w:type="paragraph" w:styleId="Elencopuntato0" w:customStyle="1">
    <w:name w:val="Elenco puntato"/>
    <w:basedOn w:val="Normale"/>
    <w:link w:val="ElencopuntatoCarattere"/>
    <w:qFormat/>
    <w:rsid w:val="00536BC4"/>
    <w:pPr>
      <w:numPr>
        <w:numId w:val="28"/>
      </w:numPr>
    </w:pPr>
    <w:rPr>
      <w:rFonts w:ascii="Century Gothic" w:hAnsi="Century Gothic" w:cs="Arial"/>
    </w:rPr>
  </w:style>
  <w:style w:type="character" w:styleId="Titolo2Carattere" w:customStyle="1">
    <w:name w:val="Titolo 2 Carattere"/>
    <w:basedOn w:val="Carpredefinitoparagrafo"/>
    <w:link w:val="Titolo2"/>
    <w:rsid w:val="00682BA0"/>
    <w:rPr>
      <w:rFonts w:asciiTheme="minorHAnsi" w:hAnsiTheme="minorHAnsi" w:cstheme="minorHAnsi"/>
      <w:b/>
      <w:i/>
      <w:iCs/>
      <w:color w:val="0C0C0C" w:themeColor="text1"/>
      <w:sz w:val="16"/>
    </w:rPr>
  </w:style>
  <w:style w:type="character" w:styleId="SottoparagrafoCarattere" w:customStyle="1">
    <w:name w:val="Sottoparagrafo Carattere"/>
    <w:basedOn w:val="Titolo2Carattere"/>
    <w:link w:val="Sottoparagrafo"/>
    <w:rsid w:val="00536BC4"/>
    <w:rPr>
      <w:rFonts w:ascii="Century Gothic" w:hAnsi="Century Gothic" w:cs="Arial"/>
      <w:b/>
      <w:i/>
      <w:iCs/>
      <w:color w:val="0C0C0C" w:themeColor="text1"/>
      <w:sz w:val="16"/>
    </w:rPr>
  </w:style>
  <w:style w:type="character" w:styleId="ElencopuntatoCarattere" w:customStyle="1">
    <w:name w:val="Elenco puntato Carattere"/>
    <w:basedOn w:val="Carpredefinitoparagrafo"/>
    <w:link w:val="Elencopuntato0"/>
    <w:rsid w:val="00536BC4"/>
    <w:rPr>
      <w:rFonts w:ascii="Century Gothic" w:hAnsi="Century Gothic" w:cs="Arial"/>
      <w:color w:val="0C0C0C" w:themeColor="text1"/>
    </w:rPr>
  </w:style>
  <w:style w:type="character" w:styleId="SottotitoloCarattere" w:customStyle="1">
    <w:name w:val="Sottotitolo Carattere"/>
    <w:basedOn w:val="Carpredefinitoparagrafo"/>
    <w:link w:val="Sottotitolo"/>
    <w:uiPriority w:val="11"/>
    <w:rsid w:val="00536BC4"/>
    <w:rPr>
      <w:rFonts w:ascii="Century Gothic" w:hAnsi="Century Gothic"/>
      <w:b/>
      <w:color w:val="0C0C0C" w:themeColor="text1"/>
      <w:sz w:val="32"/>
    </w:rPr>
  </w:style>
  <w:style w:type="paragraph" w:styleId="Nessunaspaziatura">
    <w:name w:val="No Spacing"/>
    <w:link w:val="NessunaspaziaturaCarattere"/>
    <w:uiPriority w:val="1"/>
    <w:qFormat/>
    <w:rsid w:val="00536BC4"/>
    <w:rPr>
      <w:rFonts w:ascii="Century Gothic" w:hAnsi="Century Gothic" w:eastAsiaTheme="minorEastAsia" w:cstheme="minorBidi"/>
      <w:sz w:val="22"/>
      <w:szCs w:val="22"/>
    </w:rPr>
  </w:style>
  <w:style w:type="character" w:styleId="NessunaspaziaturaCarattere" w:customStyle="1">
    <w:name w:val="Nessuna spaziatura Carattere"/>
    <w:basedOn w:val="Carpredefinitoparagrafo"/>
    <w:link w:val="Nessunaspaziatura"/>
    <w:uiPriority w:val="1"/>
    <w:rsid w:val="00536BC4"/>
    <w:rPr>
      <w:rFonts w:ascii="Century Gothic" w:hAnsi="Century Gothic" w:eastAsiaTheme="minorEastAsia" w:cstheme="minorBidi"/>
      <w:sz w:val="22"/>
      <w:szCs w:val="22"/>
    </w:rPr>
  </w:style>
  <w:style w:type="paragraph" w:styleId="Stile4" w:customStyle="1">
    <w:name w:val="Stile4"/>
    <w:basedOn w:val="Titolo2"/>
    <w:link w:val="Stile4Carattere"/>
    <w:qFormat/>
    <w:rsid w:val="00536BC4"/>
    <w:pPr>
      <w:tabs>
        <w:tab w:val="clear" w:pos="426"/>
        <w:tab w:val="num" w:pos="576"/>
      </w:tabs>
      <w:spacing w:before="360" w:after="360" w:line="240" w:lineRule="auto"/>
      <w:ind w:right="6"/>
    </w:pPr>
    <w:rPr>
      <w:rFonts w:ascii="Century Gothic" w:hAnsi="Century Gothic"/>
      <w:i w:val="0"/>
      <w:color w:val="BE0036"/>
      <w:sz w:val="28"/>
    </w:rPr>
  </w:style>
  <w:style w:type="paragraph" w:styleId="Text" w:customStyle="1">
    <w:name w:val="Text"/>
    <w:next w:val="Normale"/>
    <w:link w:val="TextCarattere"/>
    <w:qFormat/>
    <w:rsid w:val="00BB123F"/>
    <w:pPr>
      <w:spacing w:after="240" w:line="288" w:lineRule="auto"/>
      <w:jc w:val="both"/>
    </w:pPr>
    <w:rPr>
      <w:rFonts w:ascii="Century Gothic" w:hAnsi="Century Gothic" w:cs="Times New Roman (Corpo CS)" w:eastAsiaTheme="minorHAnsi"/>
      <w:color w:val="303232"/>
      <w:sz w:val="18"/>
      <w:szCs w:val="18"/>
      <w:lang w:eastAsia="en-US"/>
    </w:rPr>
  </w:style>
  <w:style w:type="character" w:styleId="Stile4Carattere" w:customStyle="1">
    <w:name w:val="Stile4 Carattere"/>
    <w:basedOn w:val="Titolo2Carattere"/>
    <w:link w:val="Stile4"/>
    <w:rsid w:val="00536BC4"/>
    <w:rPr>
      <w:rFonts w:ascii="Century Gothic" w:hAnsi="Century Gothic" w:cstheme="minorHAnsi"/>
      <w:b/>
      <w:i w:val="0"/>
      <w:iCs/>
      <w:color w:val="BE0036"/>
      <w:sz w:val="28"/>
    </w:rPr>
  </w:style>
  <w:style w:type="character" w:styleId="tcl-obiettivoitemtitlecolor" w:customStyle="1">
    <w:name w:val="tcl-obiettivo__item__title__color"/>
    <w:basedOn w:val="Carpredefinitoparagrafo"/>
    <w:rsid w:val="00AE145C"/>
  </w:style>
  <w:style w:type="paragraph" w:styleId="claim" w:customStyle="1">
    <w:name w:val="claim"/>
    <w:basedOn w:val="Text"/>
    <w:link w:val="claimCarattere"/>
    <w:qFormat/>
    <w:rsid w:val="00C44684"/>
    <w:pPr>
      <w:spacing w:line="520" w:lineRule="exact"/>
      <w:jc w:val="left"/>
    </w:pPr>
    <w:rPr>
      <w:rFonts w:cstheme="minorHAnsi"/>
      <w:b/>
      <w:sz w:val="52"/>
    </w:rPr>
  </w:style>
  <w:style w:type="character" w:styleId="TextCarattere" w:customStyle="1">
    <w:name w:val="Text Carattere"/>
    <w:basedOn w:val="Carpredefinitoparagrafo"/>
    <w:link w:val="Text"/>
    <w:rsid w:val="00C44684"/>
    <w:rPr>
      <w:rFonts w:ascii="Century Gothic" w:hAnsi="Century Gothic" w:cs="Times New Roman (Corpo CS)" w:eastAsiaTheme="minorHAnsi"/>
      <w:color w:val="303232"/>
      <w:sz w:val="18"/>
      <w:szCs w:val="18"/>
      <w:lang w:eastAsia="en-US"/>
    </w:rPr>
  </w:style>
  <w:style w:type="character" w:styleId="claimCarattere" w:customStyle="1">
    <w:name w:val="claim Carattere"/>
    <w:basedOn w:val="TextCarattere"/>
    <w:link w:val="claim"/>
    <w:rsid w:val="00C44684"/>
    <w:rPr>
      <w:rFonts w:ascii="Century Gothic" w:hAnsi="Century Gothic" w:eastAsiaTheme="minorHAnsi" w:cstheme="minorHAnsi"/>
      <w:b/>
      <w:color w:val="303232"/>
      <w:sz w:val="52"/>
      <w:szCs w:val="18"/>
      <w:lang w:eastAsia="en-US"/>
    </w:rPr>
  </w:style>
  <w:style w:type="paragraph" w:styleId="Sottotitolo1" w:customStyle="1">
    <w:name w:val="Sottotitolo1"/>
    <w:basedOn w:val="Titolo1"/>
    <w:link w:val="SubtitleCarattere"/>
    <w:qFormat/>
    <w:rsid w:val="00B640E2"/>
    <w:pPr>
      <w:numPr>
        <w:numId w:val="0"/>
      </w:numPr>
      <w:spacing w:before="0" w:after="360" w:line="276" w:lineRule="auto"/>
      <w:jc w:val="left"/>
    </w:pPr>
    <w:rPr>
      <w:rFonts w:eastAsiaTheme="minorHAnsi"/>
      <w:color w:val="BE0036"/>
      <w:sz w:val="22"/>
      <w:szCs w:val="36"/>
      <w:lang w:eastAsia="en-US"/>
    </w:rPr>
  </w:style>
  <w:style w:type="character" w:styleId="TitleCarattere" w:customStyle="1">
    <w:name w:val="Title Carattere"/>
    <w:basedOn w:val="Carpredefinitoparagrafo"/>
    <w:link w:val="Titolo1"/>
    <w:rsid w:val="00B640E2"/>
    <w:rPr>
      <w:rFonts w:ascii="Arial" w:hAnsi="Arial"/>
      <w:b/>
      <w:color w:val="0C0C0C" w:themeColor="text1"/>
      <w:szCs w:val="24"/>
    </w:rPr>
  </w:style>
  <w:style w:type="character" w:styleId="SubtitleCarattere" w:customStyle="1">
    <w:name w:val="Subtitle Carattere"/>
    <w:basedOn w:val="TitleCarattere"/>
    <w:link w:val="Sottotitolo1"/>
    <w:rsid w:val="00B640E2"/>
    <w:rPr>
      <w:rFonts w:ascii="Arial" w:hAnsi="Arial" w:eastAsiaTheme="minorHAnsi"/>
      <w:b/>
      <w:color w:val="BE0036"/>
      <w:sz w:val="22"/>
      <w:szCs w:val="36"/>
      <w:lang w:eastAsia="en-US"/>
    </w:rPr>
  </w:style>
  <w:style w:type="character" w:styleId="CorpodeltestoCarattere" w:customStyle="1">
    <w:name w:val="Corpo del testo Carattere"/>
    <w:basedOn w:val="TextCarattere"/>
    <w:link w:val="Corpodeltesto"/>
    <w:rsid w:val="00B640E2"/>
    <w:rPr>
      <w:rFonts w:ascii="Arial" w:hAnsi="Arial" w:cs="Times New Roman (Corpo CS)" w:eastAsiaTheme="minorHAnsi"/>
      <w:color w:val="0C0C0C" w:themeColor="text1"/>
      <w:sz w:val="18"/>
      <w:szCs w:val="18"/>
      <w:lang w:eastAsia="en-US"/>
    </w:rPr>
  </w:style>
  <w:style w:type="paragraph" w:styleId="elencopuntato" w:customStyle="1">
    <w:name w:val="elenco puntato"/>
    <w:basedOn w:val="Paragrafoelenco"/>
    <w:link w:val="elencopuntatoCarattere0"/>
    <w:qFormat/>
    <w:rsid w:val="00B640E2"/>
    <w:pPr>
      <w:numPr>
        <w:numId w:val="36"/>
      </w:numPr>
      <w:spacing w:after="120" w:line="288" w:lineRule="auto"/>
    </w:pPr>
    <w:rPr>
      <w:rFonts w:ascii="Century Gothic" w:hAnsi="Century Gothic" w:cs="Times New Roman (Corpo CS)" w:eastAsiaTheme="minorHAnsi"/>
      <w:color w:val="303232"/>
      <w:spacing w:val="4"/>
      <w:sz w:val="18"/>
      <w:szCs w:val="18"/>
      <w:lang w:eastAsia="en-US"/>
    </w:rPr>
  </w:style>
  <w:style w:type="character" w:styleId="elencopuntatoCarattere0" w:customStyle="1">
    <w:name w:val="elenco puntato Carattere"/>
    <w:basedOn w:val="Carpredefinitoparagrafo"/>
    <w:link w:val="elencopuntato"/>
    <w:rsid w:val="00B640E2"/>
    <w:rPr>
      <w:rFonts w:ascii="Century Gothic" w:hAnsi="Century Gothic" w:cs="Times New Roman (Corpo CS)" w:eastAsiaTheme="minorHAnsi"/>
      <w:color w:val="303232"/>
      <w:spacing w:val="4"/>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696">
      <w:bodyDiv w:val="1"/>
      <w:marLeft w:val="0"/>
      <w:marRight w:val="0"/>
      <w:marTop w:val="0"/>
      <w:marBottom w:val="0"/>
      <w:divBdr>
        <w:top w:val="none" w:sz="0" w:space="0" w:color="auto"/>
        <w:left w:val="none" w:sz="0" w:space="0" w:color="auto"/>
        <w:bottom w:val="none" w:sz="0" w:space="0" w:color="auto"/>
        <w:right w:val="none" w:sz="0" w:space="0" w:color="auto"/>
      </w:divBdr>
    </w:div>
    <w:div w:id="168326974">
      <w:bodyDiv w:val="1"/>
      <w:marLeft w:val="0"/>
      <w:marRight w:val="0"/>
      <w:marTop w:val="0"/>
      <w:marBottom w:val="0"/>
      <w:divBdr>
        <w:top w:val="none" w:sz="0" w:space="0" w:color="auto"/>
        <w:left w:val="none" w:sz="0" w:space="0" w:color="auto"/>
        <w:bottom w:val="none" w:sz="0" w:space="0" w:color="auto"/>
        <w:right w:val="none" w:sz="0" w:space="0" w:color="auto"/>
      </w:divBdr>
    </w:div>
    <w:div w:id="217479653">
      <w:bodyDiv w:val="1"/>
      <w:marLeft w:val="0"/>
      <w:marRight w:val="0"/>
      <w:marTop w:val="0"/>
      <w:marBottom w:val="0"/>
      <w:divBdr>
        <w:top w:val="none" w:sz="0" w:space="0" w:color="auto"/>
        <w:left w:val="none" w:sz="0" w:space="0" w:color="auto"/>
        <w:bottom w:val="none" w:sz="0" w:space="0" w:color="auto"/>
        <w:right w:val="none" w:sz="0" w:space="0" w:color="auto"/>
      </w:divBdr>
    </w:div>
    <w:div w:id="249168691">
      <w:bodyDiv w:val="1"/>
      <w:marLeft w:val="0"/>
      <w:marRight w:val="0"/>
      <w:marTop w:val="0"/>
      <w:marBottom w:val="0"/>
      <w:divBdr>
        <w:top w:val="none" w:sz="0" w:space="0" w:color="auto"/>
        <w:left w:val="none" w:sz="0" w:space="0" w:color="auto"/>
        <w:bottom w:val="none" w:sz="0" w:space="0" w:color="auto"/>
        <w:right w:val="none" w:sz="0" w:space="0" w:color="auto"/>
      </w:divBdr>
    </w:div>
    <w:div w:id="753745587">
      <w:bodyDiv w:val="1"/>
      <w:marLeft w:val="0"/>
      <w:marRight w:val="0"/>
      <w:marTop w:val="0"/>
      <w:marBottom w:val="0"/>
      <w:divBdr>
        <w:top w:val="none" w:sz="0" w:space="0" w:color="auto"/>
        <w:left w:val="none" w:sz="0" w:space="0" w:color="auto"/>
        <w:bottom w:val="none" w:sz="0" w:space="0" w:color="auto"/>
        <w:right w:val="none" w:sz="0" w:space="0" w:color="auto"/>
      </w:divBdr>
    </w:div>
    <w:div w:id="1378165472">
      <w:bodyDiv w:val="1"/>
      <w:marLeft w:val="0"/>
      <w:marRight w:val="0"/>
      <w:marTop w:val="0"/>
      <w:marBottom w:val="0"/>
      <w:divBdr>
        <w:top w:val="none" w:sz="0" w:space="0" w:color="auto"/>
        <w:left w:val="none" w:sz="0" w:space="0" w:color="auto"/>
        <w:bottom w:val="none" w:sz="0" w:space="0" w:color="auto"/>
        <w:right w:val="none" w:sz="0" w:space="0" w:color="auto"/>
      </w:divBdr>
    </w:div>
    <w:div w:id="1743288546">
      <w:bodyDiv w:val="1"/>
      <w:marLeft w:val="0"/>
      <w:marRight w:val="0"/>
      <w:marTop w:val="0"/>
      <w:marBottom w:val="0"/>
      <w:divBdr>
        <w:top w:val="none" w:sz="0" w:space="0" w:color="auto"/>
        <w:left w:val="none" w:sz="0" w:space="0" w:color="auto"/>
        <w:bottom w:val="none" w:sz="0" w:space="0" w:color="auto"/>
        <w:right w:val="none" w:sz="0" w:space="0" w:color="auto"/>
      </w:divBdr>
    </w:div>
    <w:div w:id="1797261151">
      <w:bodyDiv w:val="1"/>
      <w:marLeft w:val="0"/>
      <w:marRight w:val="0"/>
      <w:marTop w:val="0"/>
      <w:marBottom w:val="0"/>
      <w:divBdr>
        <w:top w:val="none" w:sz="0" w:space="0" w:color="auto"/>
        <w:left w:val="none" w:sz="0" w:space="0" w:color="auto"/>
        <w:bottom w:val="none" w:sz="0" w:space="0" w:color="auto"/>
        <w:right w:val="none" w:sz="0" w:space="0" w:color="auto"/>
      </w:divBdr>
    </w:div>
    <w:div w:id="1955550741">
      <w:bodyDiv w:val="1"/>
      <w:marLeft w:val="0"/>
      <w:marRight w:val="0"/>
      <w:marTop w:val="0"/>
      <w:marBottom w:val="0"/>
      <w:divBdr>
        <w:top w:val="none" w:sz="0" w:space="0" w:color="auto"/>
        <w:left w:val="none" w:sz="0" w:space="0" w:color="auto"/>
        <w:bottom w:val="none" w:sz="0" w:space="0" w:color="auto"/>
        <w:right w:val="none" w:sz="0" w:space="0" w:color="auto"/>
      </w:divBdr>
    </w:div>
    <w:div w:id="1965457226">
      <w:bodyDiv w:val="1"/>
      <w:marLeft w:val="0"/>
      <w:marRight w:val="0"/>
      <w:marTop w:val="0"/>
      <w:marBottom w:val="0"/>
      <w:divBdr>
        <w:top w:val="none" w:sz="0" w:space="0" w:color="auto"/>
        <w:left w:val="none" w:sz="0" w:space="0" w:color="auto"/>
        <w:bottom w:val="none" w:sz="0" w:space="0" w:color="auto"/>
        <w:right w:val="none" w:sz="0" w:space="0" w:color="auto"/>
      </w:divBdr>
    </w:div>
    <w:div w:id="1998680089">
      <w:bodyDiv w:val="1"/>
      <w:marLeft w:val="0"/>
      <w:marRight w:val="0"/>
      <w:marTop w:val="0"/>
      <w:marBottom w:val="0"/>
      <w:divBdr>
        <w:top w:val="none" w:sz="0" w:space="0" w:color="auto"/>
        <w:left w:val="none" w:sz="0" w:space="0" w:color="auto"/>
        <w:bottom w:val="none" w:sz="0" w:space="0" w:color="auto"/>
        <w:right w:val="none" w:sz="0" w:space="0" w:color="auto"/>
      </w:divBdr>
    </w:div>
    <w:div w:id="2034182414">
      <w:bodyDiv w:val="1"/>
      <w:marLeft w:val="0"/>
      <w:marRight w:val="0"/>
      <w:marTop w:val="0"/>
      <w:marBottom w:val="0"/>
      <w:divBdr>
        <w:top w:val="none" w:sz="0" w:space="0" w:color="auto"/>
        <w:left w:val="none" w:sz="0" w:space="0" w:color="auto"/>
        <w:bottom w:val="none" w:sz="0" w:space="0" w:color="auto"/>
        <w:right w:val="none" w:sz="0" w:space="0" w:color="auto"/>
      </w:divBdr>
    </w:div>
    <w:div w:id="2128621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Qualit&#224;\SGQ\Modelli\Cancelleria\MS-001D%2003.dot" TargetMode="External"/></Relationships>
</file>

<file path=word/theme/theme1.xml><?xml version="1.0" encoding="utf-8"?>
<a:theme xmlns:a="http://schemas.openxmlformats.org/drawingml/2006/main" xmlns:thm15="http://schemas.microsoft.com/office/thememl/2012/main" name="Tema di Office">
  <a:themeElements>
    <a:clrScheme name="Lutech Theme">
      <a:dk1>
        <a:srgbClr val="0C0C0C"/>
      </a:dk1>
      <a:lt1>
        <a:sysClr val="window" lastClr="FFFFFF"/>
      </a:lt1>
      <a:dk2>
        <a:srgbClr val="444444"/>
      </a:dk2>
      <a:lt2>
        <a:srgbClr val="FFFFFF"/>
      </a:lt2>
      <a:accent1>
        <a:srgbClr val="BE0036"/>
      </a:accent1>
      <a:accent2>
        <a:srgbClr val="E81B44"/>
      </a:accent2>
      <a:accent3>
        <a:srgbClr val="335A66"/>
      </a:accent3>
      <a:accent4>
        <a:srgbClr val="7F4073"/>
      </a:accent4>
      <a:accent5>
        <a:srgbClr val="EB5E55"/>
      </a:accent5>
      <a:accent6>
        <a:srgbClr val="E5D352"/>
      </a:accent6>
      <a:hlink>
        <a:srgbClr val="AED4E6"/>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70B7EFF96D794E8CF00516AB2823FB" ma:contentTypeVersion="15" ma:contentTypeDescription="Create a new document." ma:contentTypeScope="" ma:versionID="9f18b9c26d26121de4dd94056da40abd">
  <xsd:schema xmlns:xsd="http://www.w3.org/2001/XMLSchema" xmlns:xs="http://www.w3.org/2001/XMLSchema" xmlns:p="http://schemas.microsoft.com/office/2006/metadata/properties" xmlns:ns2="4ac0c76a-d76b-4972-95db-98ff0bc6535f" xmlns:ns3="a40cc2d8-a230-4e13-9c0d-f518e5a3f656" targetNamespace="http://schemas.microsoft.com/office/2006/metadata/properties" ma:root="true" ma:fieldsID="509b8d38d5e487db95c480231b5d9e39" ns2:_="" ns3:_="">
    <xsd:import namespace="4ac0c76a-d76b-4972-95db-98ff0bc6535f"/>
    <xsd:import namespace="a40cc2d8-a230-4e13-9c0d-f518e5a3f6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c0c76a-d76b-4972-95db-98ff0bc653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b2fc3c2-9792-4429-8cd5-c389a38525b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0cc2d8-a230-4e13-9c0d-f518e5a3f65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a32579e-0f22-402d-b66b-3746296cf2e6}" ma:internalName="TaxCatchAll" ma:showField="CatchAllData" ma:web="a40cc2d8-a230-4e13-9c0d-f518e5a3f65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40cc2d8-a230-4e13-9c0d-f518e5a3f656" xsi:nil="true"/>
    <lcf76f155ced4ddcb4097134ff3c332f xmlns="4ac0c76a-d76b-4972-95db-98ff0bc6535f">
      <Terms xmlns="http://schemas.microsoft.com/office/infopath/2007/PartnerControls"/>
    </lcf76f155ced4ddcb4097134ff3c332f>
    <SharedWithUsers xmlns="a40cc2d8-a230-4e13-9c0d-f518e5a3f656">
      <UserInfo>
        <DisplayName/>
        <AccountId xsi:nil="true"/>
        <AccountType/>
      </UserInfo>
    </SharedWithUsers>
  </documentManagement>
</p:properties>
</file>

<file path=customXml/itemProps1.xml><?xml version="1.0" encoding="utf-8"?>
<ds:datastoreItem xmlns:ds="http://schemas.openxmlformats.org/officeDocument/2006/customXml" ds:itemID="{77B742E3-F36B-4E17-B156-1CBA0DA477D9}"/>
</file>

<file path=customXml/itemProps2.xml><?xml version="1.0" encoding="utf-8"?>
<ds:datastoreItem xmlns:ds="http://schemas.openxmlformats.org/officeDocument/2006/customXml" ds:itemID="{8BD7F4D7-E8A9-48DF-BD72-2A592383078D}">
  <ds:schemaRefs>
    <ds:schemaRef ds:uri="http://schemas.openxmlformats.org/officeDocument/2006/bibliography"/>
  </ds:schemaRefs>
</ds:datastoreItem>
</file>

<file path=customXml/itemProps3.xml><?xml version="1.0" encoding="utf-8"?>
<ds:datastoreItem xmlns:ds="http://schemas.openxmlformats.org/officeDocument/2006/customXml" ds:itemID="{6809634A-53F9-4F4B-B29D-F3CBF2F15DC7}">
  <ds:schemaRefs>
    <ds:schemaRef ds:uri="http://schemas.microsoft.com/sharepoint/v3/contenttype/forms"/>
  </ds:schemaRefs>
</ds:datastoreItem>
</file>

<file path=customXml/itemProps4.xml><?xml version="1.0" encoding="utf-8"?>
<ds:datastoreItem xmlns:ds="http://schemas.openxmlformats.org/officeDocument/2006/customXml" ds:itemID="{21925033-5D23-4493-AEE9-CCF77936E7C5}">
  <ds:schemaRefs>
    <ds:schemaRef ds:uri="http://schemas.microsoft.com/office/2006/metadata/properties"/>
    <ds:schemaRef ds:uri="http://schemas.microsoft.com/office/infopath/2007/PartnerControls"/>
    <ds:schemaRef ds:uri="6e115e8e-2e5a-4319-a8ab-14b9f7477685"/>
    <ds:schemaRef ds:uri="9e63b630-f4e1-4185-912c-8bdcf1ab337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MS-001D 03.dot</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CJ Test Helper: disegno della soluzione</dc:title>
  <dc:subject>Dati di test per i customer journey di Salesforce Marketing Cloud</dc:subject>
  <dc:creator>F.Langiulli@lutech.it</dc:creator>
  <keywords/>
  <lastModifiedBy>Rita Ginepri</lastModifiedBy>
  <revision>19</revision>
  <lastPrinted>2004-01-29T13:30:00.0000000Z</lastPrinted>
  <dcterms:created xsi:type="dcterms:W3CDTF">2023-09-28T07:57:00.0000000Z</dcterms:created>
  <dcterms:modified xsi:type="dcterms:W3CDTF">2026-04-13T12:59:59.5299001Z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e Documento">
    <vt:lpwstr>00</vt:lpwstr>
  </property>
  <property fmtid="{D5CDD505-2E9C-101B-9397-08002B2CF9AE}" pid="3" name="Tipo Documento">
    <vt:lpwstr>Documento di Offerta</vt:lpwstr>
  </property>
  <property fmtid="{D5CDD505-2E9C-101B-9397-08002B2CF9AE}" pid="4" name="Codice Documento">
    <vt:lpwstr>Codice</vt:lpwstr>
  </property>
  <property fmtid="{D5CDD505-2E9C-101B-9397-08002B2CF9AE}" pid="5" name="Codice Cliente">
    <vt:lpwstr>CodCli</vt:lpwstr>
  </property>
  <property fmtid="{D5CDD505-2E9C-101B-9397-08002B2CF9AE}" pid="6" name="Nome Cliente">
    <vt:lpwstr>NomeCli</vt:lpwstr>
  </property>
  <property fmtid="{D5CDD505-2E9C-101B-9397-08002B2CF9AE}" pid="7" name="Codice Commessa">
    <vt:lpwstr>CodProg</vt:lpwstr>
  </property>
  <property fmtid="{D5CDD505-2E9C-101B-9397-08002B2CF9AE}" pid="8" name="Descrizione Commessa">
    <vt:lpwstr>DescrizioneCommessa</vt:lpwstr>
  </property>
  <property fmtid="{D5CDD505-2E9C-101B-9397-08002B2CF9AE}" pid="9" name="ContentTypeId">
    <vt:lpwstr>0x010100DB70B7EFF96D794E8CF00516AB2823FB</vt:lpwstr>
  </property>
  <property fmtid="{D5CDD505-2E9C-101B-9397-08002B2CF9AE}" pid="10" name="Classificazione">
    <vt:lpwstr>Confidenziale</vt:lpwstr>
  </property>
  <property fmtid="{D5CDD505-2E9C-101B-9397-08002B2CF9AE}" pid="11" name="Codice">
    <vt:lpwstr>TMP-008A</vt:lpwstr>
  </property>
  <property fmtid="{D5CDD505-2E9C-101B-9397-08002B2CF9AE}" pid="12" name="Cat">
    <vt:lpwstr>SQ</vt:lpwstr>
  </property>
  <property fmtid="{D5CDD505-2E9C-101B-9397-08002B2CF9AE}" pid="13" name="Versione_x0020_del_x0020_Documento">
    <vt:lpwstr>18</vt:lpwstr>
  </property>
  <property fmtid="{D5CDD505-2E9C-101B-9397-08002B2CF9AE}" pid="14" name="Data1">
    <vt:filetime>2019-03-27T22:00:00Z</vt:filetime>
  </property>
  <property fmtid="{D5CDD505-2E9C-101B-9397-08002B2CF9AE}" pid="15" name="Versione del Documento">
    <vt:lpwstr>18</vt:lpwstr>
  </property>
  <property fmtid="{D5CDD505-2E9C-101B-9397-08002B2CF9AE}" pid="16" name="MediaServiceImageTags">
    <vt:lpwstr/>
  </property>
  <property fmtid="{D5CDD505-2E9C-101B-9397-08002B2CF9AE}" pid="17" name="docLang">
    <vt:lpwstr>it</vt:lpwstr>
  </property>
  <property fmtid="{D5CDD505-2E9C-101B-9397-08002B2CF9AE}" pid="18" name="Order">
    <vt:r8>1300</vt:r8>
  </property>
  <property fmtid="{D5CDD505-2E9C-101B-9397-08002B2CF9AE}" pid="19" name="xd_Signature">
    <vt:bool>false</vt:bool>
  </property>
  <property fmtid="{D5CDD505-2E9C-101B-9397-08002B2CF9AE}" pid="20" name="xd_ProgID">
    <vt:lpwstr/>
  </property>
  <property fmtid="{D5CDD505-2E9C-101B-9397-08002B2CF9AE}" pid="21" name="ComplianceAssetId">
    <vt:lpwstr/>
  </property>
  <property fmtid="{D5CDD505-2E9C-101B-9397-08002B2CF9AE}" pid="22" name="TemplateUrl">
    <vt:lpwstr/>
  </property>
  <property fmtid="{D5CDD505-2E9C-101B-9397-08002B2CF9AE}" pid="23" name="_ExtendedDescription">
    <vt:lpwstr/>
  </property>
  <property fmtid="{D5CDD505-2E9C-101B-9397-08002B2CF9AE}" pid="24" name="TriggerFlowInfo">
    <vt:lpwstr/>
  </property>
</Properties>
</file>