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0BA0" w14:textId="77777777" w:rsidR="00C93722" w:rsidRPr="004C3EAF" w:rsidRDefault="00C93722" w:rsidP="00C93722">
      <w:pPr>
        <w:kinsoku w:val="0"/>
        <w:overflowPunct w:val="0"/>
        <w:autoSpaceDE w:val="0"/>
        <w:autoSpaceDN w:val="0"/>
        <w:adjustRightInd w:val="0"/>
        <w:spacing w:after="0" w:line="240" w:lineRule="auto"/>
        <w:rPr>
          <w:rFonts w:ascii="Times New Roman" w:hAnsi="Times New Roman" w:cs="Times New Roman"/>
          <w:sz w:val="20"/>
          <w:szCs w:val="20"/>
        </w:rPr>
      </w:pPr>
    </w:p>
    <w:p w14:paraId="1735A08A" w14:textId="77777777" w:rsidR="00C93722" w:rsidRPr="004C3EAF" w:rsidRDefault="00C93722" w:rsidP="00C93722">
      <w:pPr>
        <w:kinsoku w:val="0"/>
        <w:overflowPunct w:val="0"/>
        <w:autoSpaceDE w:val="0"/>
        <w:autoSpaceDN w:val="0"/>
        <w:adjustRightInd w:val="0"/>
        <w:spacing w:after="0" w:line="200" w:lineRule="atLeast"/>
        <w:ind w:left="2965"/>
        <w:rPr>
          <w:rFonts w:ascii="Times New Roman" w:hAnsi="Times New Roman" w:cs="Times New Roman"/>
          <w:sz w:val="20"/>
          <w:szCs w:val="20"/>
        </w:rPr>
      </w:pPr>
      <w:r w:rsidRPr="004C3EAF">
        <w:rPr>
          <w:rFonts w:ascii="Times New Roman" w:hAnsi="Times New Roman" w:cs="Times New Roman"/>
          <w:noProof/>
          <w:sz w:val="20"/>
          <w:szCs w:val="20"/>
        </w:rPr>
        <w:drawing>
          <wp:inline distT="0" distB="0" distL="0" distR="0" wp14:anchorId="24E301FC" wp14:editId="33CFDD8A">
            <wp:extent cx="1668780" cy="807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807720"/>
                    </a:xfrm>
                    <a:prstGeom prst="rect">
                      <a:avLst/>
                    </a:prstGeom>
                    <a:noFill/>
                    <a:ln>
                      <a:noFill/>
                    </a:ln>
                  </pic:spPr>
                </pic:pic>
              </a:graphicData>
            </a:graphic>
          </wp:inline>
        </w:drawing>
      </w:r>
    </w:p>
    <w:p w14:paraId="7F5C966F" w14:textId="77777777" w:rsidR="00C93722" w:rsidRPr="004C3EAF" w:rsidRDefault="00C93722" w:rsidP="00C93722">
      <w:pPr>
        <w:kinsoku w:val="0"/>
        <w:overflowPunct w:val="0"/>
        <w:autoSpaceDE w:val="0"/>
        <w:autoSpaceDN w:val="0"/>
        <w:adjustRightInd w:val="0"/>
        <w:spacing w:before="8" w:after="0" w:line="240" w:lineRule="auto"/>
        <w:rPr>
          <w:rFonts w:ascii="Times New Roman" w:hAnsi="Times New Roman" w:cs="Times New Roman"/>
          <w:sz w:val="23"/>
          <w:szCs w:val="23"/>
        </w:rPr>
      </w:pPr>
    </w:p>
    <w:p w14:paraId="1E042B65" w14:textId="77777777" w:rsidR="00C93722" w:rsidRPr="004C3EAF" w:rsidRDefault="00C93722" w:rsidP="00C93722">
      <w:pPr>
        <w:kinsoku w:val="0"/>
        <w:overflowPunct w:val="0"/>
        <w:autoSpaceDE w:val="0"/>
        <w:autoSpaceDN w:val="0"/>
        <w:adjustRightInd w:val="0"/>
        <w:spacing w:before="25" w:after="0" w:line="240" w:lineRule="auto"/>
        <w:ind w:left="825" w:right="823"/>
        <w:jc w:val="center"/>
        <w:rPr>
          <w:rFonts w:ascii="Californian FB" w:hAnsi="Californian FB" w:cs="Californian FB"/>
          <w:sz w:val="32"/>
          <w:szCs w:val="32"/>
        </w:rPr>
      </w:pPr>
      <w:bookmarkStart w:id="0" w:name="1.Cover_Parte1.pdf"/>
      <w:bookmarkEnd w:id="0"/>
      <w:r w:rsidRPr="004C3EAF">
        <w:rPr>
          <w:rFonts w:ascii="Californian FB" w:hAnsi="Californian FB" w:cs="Californian FB"/>
          <w:sz w:val="32"/>
          <w:szCs w:val="32"/>
        </w:rPr>
        <w:t>MSc</w:t>
      </w:r>
      <w:r w:rsidRPr="004C3EAF">
        <w:rPr>
          <w:rFonts w:ascii="Californian FB" w:hAnsi="Californian FB" w:cs="Californian FB"/>
          <w:spacing w:val="-11"/>
          <w:sz w:val="32"/>
          <w:szCs w:val="32"/>
        </w:rPr>
        <w:t xml:space="preserve"> </w:t>
      </w:r>
      <w:r w:rsidRPr="004C3EAF">
        <w:rPr>
          <w:rFonts w:ascii="Californian FB" w:hAnsi="Californian FB" w:cs="Californian FB"/>
          <w:sz w:val="32"/>
          <w:szCs w:val="32"/>
        </w:rPr>
        <w:t>in</w:t>
      </w:r>
      <w:r w:rsidRPr="004C3EAF">
        <w:rPr>
          <w:rFonts w:ascii="Californian FB" w:hAnsi="Californian FB" w:cs="Californian FB"/>
          <w:spacing w:val="-8"/>
          <w:sz w:val="32"/>
          <w:szCs w:val="32"/>
        </w:rPr>
        <w:t xml:space="preserve"> </w:t>
      </w:r>
      <w:r w:rsidRPr="004C3EAF">
        <w:rPr>
          <w:rFonts w:ascii="Californian FB" w:hAnsi="Californian FB" w:cs="Californian FB"/>
          <w:sz w:val="32"/>
          <w:szCs w:val="32"/>
        </w:rPr>
        <w:t>Bioinformatics</w:t>
      </w:r>
      <w:r w:rsidRPr="004C3EAF">
        <w:rPr>
          <w:rFonts w:ascii="Californian FB" w:hAnsi="Californian FB" w:cs="Californian FB"/>
          <w:spacing w:val="-10"/>
          <w:sz w:val="32"/>
          <w:szCs w:val="32"/>
        </w:rPr>
        <w:t xml:space="preserve"> </w:t>
      </w:r>
    </w:p>
    <w:p w14:paraId="210179F7"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32"/>
          <w:szCs w:val="32"/>
        </w:rPr>
      </w:pPr>
    </w:p>
    <w:p w14:paraId="50B0BC04" w14:textId="77777777" w:rsidR="00C93722" w:rsidRPr="004C3EAF" w:rsidRDefault="00C93722" w:rsidP="00C93722">
      <w:pPr>
        <w:kinsoku w:val="0"/>
        <w:overflowPunct w:val="0"/>
        <w:autoSpaceDE w:val="0"/>
        <w:autoSpaceDN w:val="0"/>
        <w:adjustRightInd w:val="0"/>
        <w:spacing w:after="0" w:line="240" w:lineRule="auto"/>
        <w:ind w:left="566" w:firstLine="2558"/>
        <w:rPr>
          <w:rFonts w:ascii="Californian FB" w:hAnsi="Californian FB" w:cs="Californian FB"/>
          <w:spacing w:val="-1"/>
          <w:sz w:val="40"/>
          <w:szCs w:val="40"/>
        </w:rPr>
      </w:pPr>
      <w:r w:rsidRPr="004C3EAF">
        <w:rPr>
          <w:rFonts w:ascii="Californian FB" w:hAnsi="Californian FB" w:cs="Californian FB"/>
          <w:spacing w:val="-1"/>
          <w:sz w:val="40"/>
          <w:szCs w:val="40"/>
        </w:rPr>
        <w:t>Master</w:t>
      </w:r>
      <w:r w:rsidRPr="004C3EAF">
        <w:rPr>
          <w:rFonts w:ascii="Californian FB" w:hAnsi="Californian FB" w:cs="Californian FB"/>
          <w:spacing w:val="-2"/>
          <w:sz w:val="40"/>
          <w:szCs w:val="40"/>
        </w:rPr>
        <w:t xml:space="preserve"> </w:t>
      </w:r>
      <w:r w:rsidRPr="004C3EAF">
        <w:rPr>
          <w:rFonts w:ascii="Californian FB" w:hAnsi="Californian FB" w:cs="Californian FB"/>
          <w:spacing w:val="-1"/>
          <w:sz w:val="40"/>
          <w:szCs w:val="40"/>
        </w:rPr>
        <w:t>Thesis</w:t>
      </w:r>
    </w:p>
    <w:p w14:paraId="2729C3A4"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20"/>
          <w:szCs w:val="20"/>
        </w:rPr>
      </w:pPr>
    </w:p>
    <w:p w14:paraId="08432A6C" w14:textId="77777777" w:rsidR="00C93722" w:rsidRPr="004C3EAF" w:rsidRDefault="00C93722" w:rsidP="00C93722">
      <w:pPr>
        <w:kinsoku w:val="0"/>
        <w:overflowPunct w:val="0"/>
        <w:autoSpaceDE w:val="0"/>
        <w:autoSpaceDN w:val="0"/>
        <w:adjustRightInd w:val="0"/>
        <w:spacing w:after="0" w:line="20" w:lineRule="atLeast"/>
        <w:ind w:left="284"/>
        <w:rPr>
          <w:rFonts w:ascii="Californian FB" w:hAnsi="Californian FB" w:cs="Californian FB"/>
          <w:sz w:val="2"/>
          <w:szCs w:val="2"/>
        </w:rPr>
      </w:pPr>
      <w:r w:rsidRPr="004C3EAF">
        <w:rPr>
          <w:rFonts w:ascii="Californian FB" w:hAnsi="Californian FB" w:cs="Californian FB"/>
          <w:noProof/>
          <w:sz w:val="2"/>
          <w:szCs w:val="2"/>
        </w:rPr>
        <mc:AlternateContent>
          <mc:Choice Requires="wpg">
            <w:drawing>
              <wp:inline distT="0" distB="0" distL="0" distR="0" wp14:anchorId="4872CB6D" wp14:editId="76F2FBB2">
                <wp:extent cx="5049520" cy="12700"/>
                <wp:effectExtent l="9525" t="9525" r="825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7" name="Freeform 3"/>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FBFEC3" id="Grupo 6"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">
                <v:shape id="Freeform 3"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" path="m,l7937,1e" filled="f">
                  <v:path arrowok="t" o:connecttype="custom" o:connectlocs="0,0;7937,1" o:connectangles="0,0"/>
                </v:shape>
                <w10:anchorlock/>
              </v:group>
            </w:pict>
          </mc:Fallback>
        </mc:AlternateContent>
      </w:r>
    </w:p>
    <w:p w14:paraId="13BF1B6C" w14:textId="2B2C16E4" w:rsidR="00C93722" w:rsidRPr="004C3EAF" w:rsidRDefault="00C93722" w:rsidP="00C93722">
      <w:pPr>
        <w:kinsoku w:val="0"/>
        <w:overflowPunct w:val="0"/>
        <w:autoSpaceDE w:val="0"/>
        <w:autoSpaceDN w:val="0"/>
        <w:adjustRightInd w:val="0"/>
        <w:spacing w:before="10" w:after="0" w:line="240" w:lineRule="auto"/>
        <w:jc w:val="center"/>
        <w:rPr>
          <w:rFonts w:ascii="Perpetua Titling MT" w:hAnsi="Perpetua Titling MT" w:cs="Perpetua Titling MT"/>
          <w:b/>
          <w:bCs/>
          <w:sz w:val="10"/>
          <w:szCs w:val="10"/>
        </w:rPr>
      </w:pPr>
      <w:r w:rsidRPr="004C3EAF">
        <w:rPr>
          <w:rFonts w:ascii="Perpetua Titling MT" w:hAnsi="Perpetua Titling MT" w:cs="Perpetua Titling MT"/>
          <w:b/>
          <w:bCs/>
          <w:sz w:val="44"/>
          <w:szCs w:val="44"/>
        </w:rPr>
        <w:t xml:space="preserve">Detection of obesity susceptibility </w:t>
      </w:r>
      <w:r w:rsidR="003678B6" w:rsidRPr="004C3EAF">
        <w:rPr>
          <w:rFonts w:ascii="Perpetua Titling MT" w:hAnsi="Perpetua Titling MT" w:cs="Perpetua Titling MT"/>
          <w:b/>
          <w:bCs/>
          <w:sz w:val="44"/>
          <w:szCs w:val="44"/>
        </w:rPr>
        <w:t xml:space="preserve">GENOMIC </w:t>
      </w:r>
      <w:r w:rsidRPr="004C3EAF">
        <w:rPr>
          <w:rFonts w:ascii="Perpetua Titling MT" w:hAnsi="Perpetua Titling MT" w:cs="Perpetua Titling MT"/>
          <w:b/>
          <w:bCs/>
          <w:sz w:val="44"/>
          <w:szCs w:val="44"/>
        </w:rPr>
        <w:t>variants in Spanish population using sequencing data</w:t>
      </w:r>
    </w:p>
    <w:p w14:paraId="258BBBD4" w14:textId="77777777" w:rsidR="00C93722" w:rsidRPr="004C3EAF" w:rsidRDefault="00C93722" w:rsidP="00C93722">
      <w:pPr>
        <w:kinsoku w:val="0"/>
        <w:overflowPunct w:val="0"/>
        <w:autoSpaceDE w:val="0"/>
        <w:autoSpaceDN w:val="0"/>
        <w:adjustRightInd w:val="0"/>
        <w:spacing w:after="0" w:line="20" w:lineRule="atLeast"/>
        <w:ind w:left="288"/>
        <w:rPr>
          <w:rFonts w:ascii="Perpetua Titling MT" w:hAnsi="Perpetua Titling MT" w:cs="Perpetua Titling MT"/>
          <w:sz w:val="2"/>
          <w:szCs w:val="2"/>
        </w:rPr>
      </w:pPr>
      <w:r w:rsidRPr="004C3EAF">
        <w:rPr>
          <w:rFonts w:ascii="Perpetua Titling MT" w:hAnsi="Perpetua Titling MT" w:cs="Perpetua Titling MT"/>
          <w:noProof/>
          <w:sz w:val="2"/>
          <w:szCs w:val="2"/>
        </w:rPr>
        <mc:AlternateContent>
          <mc:Choice Requires="wpg">
            <w:drawing>
              <wp:inline distT="0" distB="0" distL="0" distR="0" wp14:anchorId="62AED978" wp14:editId="68D9A988">
                <wp:extent cx="5049520" cy="12700"/>
                <wp:effectExtent l="9525" t="9525" r="8255" b="635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5" name="Freeform 5"/>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436DD9" id="Grupo 4"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">
                <v:shape id="Freeform 5"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" path="m,l7937,1e" filled="f">
                  <v:path arrowok="t" o:connecttype="custom" o:connectlocs="0,0;7937,1" o:connectangles="0,0"/>
                </v:shape>
                <w10:anchorlock/>
              </v:group>
            </w:pict>
          </mc:Fallback>
        </mc:AlternateContent>
      </w:r>
    </w:p>
    <w:p w14:paraId="7CB17354" w14:textId="77777777" w:rsidR="00C93722" w:rsidRPr="004C3EAF" w:rsidRDefault="00C93722" w:rsidP="00C93722">
      <w:pPr>
        <w:kinsoku w:val="0"/>
        <w:overflowPunct w:val="0"/>
        <w:autoSpaceDE w:val="0"/>
        <w:autoSpaceDN w:val="0"/>
        <w:adjustRightInd w:val="0"/>
        <w:spacing w:after="0" w:line="240" w:lineRule="auto"/>
        <w:rPr>
          <w:rFonts w:ascii="Perpetua Titling MT" w:hAnsi="Perpetua Titling MT" w:cs="Perpetua Titling MT"/>
          <w:b/>
          <w:bCs/>
          <w:sz w:val="44"/>
          <w:szCs w:val="44"/>
        </w:rPr>
      </w:pPr>
    </w:p>
    <w:p w14:paraId="3EA24A03" w14:textId="77777777" w:rsidR="00C93722" w:rsidRPr="004C3EAF" w:rsidRDefault="00C93722" w:rsidP="00C93722">
      <w:pPr>
        <w:kinsoku w:val="0"/>
        <w:overflowPunct w:val="0"/>
        <w:autoSpaceDE w:val="0"/>
        <w:autoSpaceDN w:val="0"/>
        <w:adjustRightInd w:val="0"/>
        <w:spacing w:after="0" w:line="240" w:lineRule="auto"/>
        <w:ind w:right="1"/>
        <w:jc w:val="center"/>
        <w:rPr>
          <w:rFonts w:ascii="Garamond" w:hAnsi="Garamond" w:cs="Garamond"/>
          <w:spacing w:val="-1"/>
          <w:sz w:val="33"/>
          <w:szCs w:val="33"/>
        </w:rPr>
      </w:pPr>
      <w:r w:rsidRPr="004C3EAF">
        <w:rPr>
          <w:rFonts w:ascii="Garamond" w:hAnsi="Garamond" w:cs="Garamond"/>
          <w:spacing w:val="-1"/>
          <w:sz w:val="33"/>
          <w:szCs w:val="33"/>
        </w:rPr>
        <w:t xml:space="preserve">Isaac David De la Hoz </w:t>
      </w:r>
      <w:proofErr w:type="spellStart"/>
      <w:r w:rsidRPr="004C3EAF">
        <w:rPr>
          <w:rFonts w:ascii="Garamond" w:hAnsi="Garamond" w:cs="Garamond"/>
          <w:spacing w:val="-1"/>
          <w:sz w:val="33"/>
          <w:szCs w:val="33"/>
        </w:rPr>
        <w:t>Saltaren</w:t>
      </w:r>
      <w:proofErr w:type="spellEnd"/>
    </w:p>
    <w:p w14:paraId="72FE2F87" w14:textId="77777777" w:rsidR="00C93722" w:rsidRPr="004C3EAF" w:rsidRDefault="00C93722" w:rsidP="00C93722">
      <w:pPr>
        <w:kinsoku w:val="0"/>
        <w:overflowPunct w:val="0"/>
        <w:autoSpaceDE w:val="0"/>
        <w:autoSpaceDN w:val="0"/>
        <w:adjustRightInd w:val="0"/>
        <w:spacing w:after="0" w:line="240" w:lineRule="auto"/>
        <w:rPr>
          <w:rFonts w:ascii="Garamond" w:hAnsi="Garamond" w:cs="Garamond"/>
          <w:sz w:val="32"/>
          <w:szCs w:val="32"/>
        </w:rPr>
      </w:pPr>
    </w:p>
    <w:p w14:paraId="1C72311A" w14:textId="77777777" w:rsidR="00C93722" w:rsidRPr="004C3EAF" w:rsidRDefault="00C93722" w:rsidP="00C93722">
      <w:pPr>
        <w:kinsoku w:val="0"/>
        <w:overflowPunct w:val="0"/>
        <w:autoSpaceDE w:val="0"/>
        <w:autoSpaceDN w:val="0"/>
        <w:adjustRightInd w:val="0"/>
        <w:spacing w:after="0" w:line="240" w:lineRule="auto"/>
        <w:rPr>
          <w:rFonts w:ascii="Garamond" w:hAnsi="Garamond" w:cs="Garamond"/>
          <w:sz w:val="32"/>
          <w:szCs w:val="32"/>
        </w:rPr>
      </w:pPr>
    </w:p>
    <w:p w14:paraId="63D26B04" w14:textId="1A663B59" w:rsidR="00C93722" w:rsidRPr="004C3EAF" w:rsidRDefault="003678B6" w:rsidP="00C93722">
      <w:pPr>
        <w:kinsoku w:val="0"/>
        <w:overflowPunct w:val="0"/>
        <w:autoSpaceDE w:val="0"/>
        <w:autoSpaceDN w:val="0"/>
        <w:adjustRightInd w:val="0"/>
        <w:spacing w:before="286" w:after="0" w:line="240" w:lineRule="auto"/>
        <w:ind w:left="823" w:right="823"/>
        <w:jc w:val="center"/>
        <w:rPr>
          <w:rFonts w:ascii="Garamond" w:hAnsi="Garamond" w:cs="Garamond"/>
          <w:i/>
          <w:iCs/>
          <w:sz w:val="28"/>
          <w:szCs w:val="28"/>
        </w:rPr>
      </w:pPr>
      <w:r w:rsidRPr="004C3EAF">
        <w:rPr>
          <w:rFonts w:ascii="Garamond" w:hAnsi="Garamond" w:cs="Garamond"/>
          <w:i/>
          <w:iCs/>
          <w:spacing w:val="-1"/>
          <w:sz w:val="28"/>
          <w:szCs w:val="28"/>
        </w:rPr>
        <w:t>S</w:t>
      </w:r>
      <w:r w:rsidR="00C93722" w:rsidRPr="004C3EAF">
        <w:rPr>
          <w:rFonts w:ascii="Garamond" w:hAnsi="Garamond" w:cs="Garamond"/>
          <w:i/>
          <w:iCs/>
          <w:spacing w:val="-1"/>
          <w:sz w:val="28"/>
          <w:szCs w:val="28"/>
        </w:rPr>
        <w:t>upervised</w:t>
      </w:r>
      <w:r w:rsidR="00C93722" w:rsidRPr="004C3EAF">
        <w:rPr>
          <w:rFonts w:ascii="Garamond" w:hAnsi="Garamond" w:cs="Garamond"/>
          <w:i/>
          <w:iCs/>
          <w:spacing w:val="-2"/>
          <w:sz w:val="28"/>
          <w:szCs w:val="28"/>
        </w:rPr>
        <w:t xml:space="preserve"> </w:t>
      </w:r>
      <w:r w:rsidR="00C93722" w:rsidRPr="004C3EAF">
        <w:rPr>
          <w:rFonts w:ascii="Garamond" w:hAnsi="Garamond" w:cs="Garamond"/>
          <w:i/>
          <w:iCs/>
          <w:sz w:val="28"/>
          <w:szCs w:val="28"/>
        </w:rPr>
        <w:t>by</w:t>
      </w:r>
    </w:p>
    <w:p w14:paraId="7D0DEFBB" w14:textId="1BAB8CCE" w:rsidR="00C93722" w:rsidRPr="004C3EAF" w:rsidRDefault="00C93722" w:rsidP="00C93722">
      <w:pPr>
        <w:kinsoku w:val="0"/>
        <w:overflowPunct w:val="0"/>
        <w:autoSpaceDE w:val="0"/>
        <w:autoSpaceDN w:val="0"/>
        <w:adjustRightInd w:val="0"/>
        <w:spacing w:before="198" w:after="0" w:line="240" w:lineRule="auto"/>
        <w:ind w:left="2654" w:right="2656" w:hanging="244"/>
        <w:jc w:val="center"/>
        <w:rPr>
          <w:rFonts w:ascii="Garamond" w:hAnsi="Garamond" w:cs="Garamond"/>
          <w:spacing w:val="-1"/>
          <w:sz w:val="30"/>
          <w:szCs w:val="30"/>
        </w:rPr>
      </w:pPr>
      <w:r w:rsidRPr="004C3EAF">
        <w:rPr>
          <w:rFonts w:ascii="Garamond" w:hAnsi="Garamond" w:cs="Garamond"/>
          <w:spacing w:val="-1"/>
          <w:sz w:val="30"/>
          <w:szCs w:val="30"/>
        </w:rPr>
        <w:t>Juan</w:t>
      </w:r>
      <w:r w:rsidRPr="004C3EAF">
        <w:rPr>
          <w:rFonts w:ascii="Garamond" w:hAnsi="Garamond" w:cs="Garamond"/>
          <w:spacing w:val="-3"/>
          <w:sz w:val="30"/>
          <w:szCs w:val="30"/>
        </w:rPr>
        <w:t xml:space="preserve"> </w:t>
      </w:r>
      <w:r w:rsidRPr="004C3EAF">
        <w:rPr>
          <w:rFonts w:ascii="Garamond" w:hAnsi="Garamond" w:cs="Garamond"/>
          <w:spacing w:val="-1"/>
          <w:sz w:val="30"/>
          <w:szCs w:val="30"/>
        </w:rPr>
        <w:t>R</w:t>
      </w:r>
      <w:r w:rsidRPr="004C3EAF">
        <w:rPr>
          <w:rFonts w:ascii="Garamond" w:hAnsi="Garamond" w:cs="Garamond"/>
          <w:spacing w:val="-2"/>
          <w:sz w:val="30"/>
          <w:szCs w:val="30"/>
        </w:rPr>
        <w:t xml:space="preserve"> </w:t>
      </w:r>
      <w:r w:rsidRPr="004C3EAF">
        <w:rPr>
          <w:rFonts w:ascii="Garamond" w:hAnsi="Garamond" w:cs="Garamond"/>
          <w:spacing w:val="-1"/>
          <w:sz w:val="30"/>
          <w:szCs w:val="30"/>
        </w:rPr>
        <w:t>González</w:t>
      </w:r>
      <w:r w:rsidR="003678B6" w:rsidRPr="004C3EAF">
        <w:rPr>
          <w:rFonts w:ascii="Garamond" w:hAnsi="Garamond" w:cs="Garamond"/>
          <w:spacing w:val="-4"/>
          <w:sz w:val="30"/>
          <w:szCs w:val="30"/>
        </w:rPr>
        <w:t xml:space="preserve">, </w:t>
      </w:r>
      <w:proofErr w:type="spellStart"/>
      <w:r w:rsidR="003678B6" w:rsidRPr="004C3EAF">
        <w:rPr>
          <w:rFonts w:ascii="Garamond" w:hAnsi="Garamond" w:cs="Garamond"/>
          <w:spacing w:val="-4"/>
          <w:sz w:val="30"/>
          <w:szCs w:val="30"/>
        </w:rPr>
        <w:t>ISGlobal</w:t>
      </w:r>
      <w:proofErr w:type="spellEnd"/>
    </w:p>
    <w:p w14:paraId="1AB2E700" w14:textId="2DEF7117" w:rsidR="00C93722" w:rsidRPr="004C3EAF" w:rsidRDefault="00C93722"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5D25320"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B9C1859" w14:textId="6A75762C"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r w:rsidRPr="004C3EAF">
        <w:rPr>
          <w:rFonts w:ascii="Garamond" w:hAnsi="Garamond" w:cs="Garamond"/>
          <w:i/>
          <w:spacing w:val="-1"/>
          <w:sz w:val="30"/>
          <w:szCs w:val="30"/>
        </w:rPr>
        <w:t>Academic tutor</w:t>
      </w:r>
    </w:p>
    <w:p w14:paraId="37435A64"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p>
    <w:p w14:paraId="0E8A582B" w14:textId="1ABD47BA"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r w:rsidRPr="004C3EAF">
        <w:rPr>
          <w:rFonts w:ascii="Garamond" w:hAnsi="Garamond" w:cs="Garamond"/>
          <w:spacing w:val="-1"/>
          <w:sz w:val="30"/>
          <w:szCs w:val="30"/>
        </w:rPr>
        <w:t xml:space="preserve">Raquel </w:t>
      </w:r>
      <w:proofErr w:type="spellStart"/>
      <w:r w:rsidRPr="004C3EAF">
        <w:rPr>
          <w:rFonts w:ascii="Garamond" w:hAnsi="Garamond" w:cs="Garamond"/>
          <w:spacing w:val="-1"/>
          <w:sz w:val="30"/>
          <w:szCs w:val="30"/>
        </w:rPr>
        <w:t>Egea</w:t>
      </w:r>
      <w:proofErr w:type="spellEnd"/>
      <w:r w:rsidRPr="004C3EAF">
        <w:rPr>
          <w:rFonts w:ascii="Garamond" w:hAnsi="Garamond" w:cs="Garamond"/>
          <w:spacing w:val="-1"/>
          <w:sz w:val="30"/>
          <w:szCs w:val="30"/>
        </w:rPr>
        <w:t>, UAB</w:t>
      </w:r>
    </w:p>
    <w:p w14:paraId="5C54AD76" w14:textId="77777777" w:rsidR="00C93722" w:rsidRPr="004C3EAF" w:rsidRDefault="00C93722" w:rsidP="00C93722">
      <w:pPr>
        <w:kinsoku w:val="0"/>
        <w:overflowPunct w:val="0"/>
        <w:autoSpaceDE w:val="0"/>
        <w:autoSpaceDN w:val="0"/>
        <w:adjustRightInd w:val="0"/>
        <w:spacing w:after="0" w:line="240" w:lineRule="auto"/>
        <w:rPr>
          <w:rFonts w:ascii="Garamond" w:hAnsi="Garamond" w:cs="Garamond"/>
          <w:sz w:val="20"/>
          <w:szCs w:val="20"/>
        </w:rPr>
      </w:pPr>
    </w:p>
    <w:p w14:paraId="37150819" w14:textId="1A13AEE9" w:rsidR="00C93722" w:rsidRPr="004C3EAF" w:rsidRDefault="00C93722" w:rsidP="003678B6">
      <w:pPr>
        <w:tabs>
          <w:tab w:val="left" w:pos="5095"/>
        </w:tabs>
        <w:kinsoku w:val="0"/>
        <w:overflowPunct w:val="0"/>
        <w:autoSpaceDE w:val="0"/>
        <w:autoSpaceDN w:val="0"/>
        <w:adjustRightInd w:val="0"/>
        <w:spacing w:after="0" w:line="200" w:lineRule="atLeast"/>
        <w:ind w:left="606"/>
        <w:rPr>
          <w:rFonts w:ascii="Garamond" w:hAnsi="Garamond" w:cs="Garamond"/>
          <w:sz w:val="20"/>
          <w:szCs w:val="20"/>
        </w:rPr>
      </w:pPr>
      <w:r w:rsidRPr="004C3EAF">
        <w:rPr>
          <w:rFonts w:ascii="Garamond" w:hAnsi="Garamond" w:cs="Garamond"/>
          <w:position w:val="3"/>
          <w:sz w:val="20"/>
          <w:szCs w:val="20"/>
        </w:rPr>
        <w:tab/>
      </w:r>
    </w:p>
    <w:p w14:paraId="3CE4893D"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671C10E"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507EC08"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r w:rsidRPr="004C3EAF">
        <w:rPr>
          <w:noProof/>
        </w:rPr>
        <w:drawing>
          <wp:anchor distT="0" distB="0" distL="114300" distR="114300" simplePos="0" relativeHeight="251659264" behindDoc="1" locked="0" layoutInCell="1" allowOverlap="1" wp14:anchorId="0149B78D" wp14:editId="04135A58">
            <wp:simplePos x="0" y="0"/>
            <wp:positionH relativeFrom="margin">
              <wp:posOffset>2788920</wp:posOffset>
            </wp:positionH>
            <wp:positionV relativeFrom="paragraph">
              <wp:posOffset>20320</wp:posOffset>
            </wp:positionV>
            <wp:extent cx="2535555" cy="899160"/>
            <wp:effectExtent l="0" t="0" r="0" b="0"/>
            <wp:wrapTight wrapText="bothSides">
              <wp:wrapPolygon edited="0">
                <wp:start x="0" y="0"/>
                <wp:lineTo x="0" y="21051"/>
                <wp:lineTo x="21421" y="21051"/>
                <wp:lineTo x="21421" y="0"/>
                <wp:lineTo x="0" y="0"/>
              </wp:wrapPolygon>
            </wp:wrapTight>
            <wp:docPr id="8" name="Imagen 8" descr="Resultat d'imatges de isglob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t d'imatges de isglobal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14"/>
                    <a:stretch/>
                  </pic:blipFill>
                  <pic:spPr bwMode="auto">
                    <a:xfrm>
                      <a:off x="0" y="0"/>
                      <a:ext cx="2535555"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3EAF">
        <w:rPr>
          <w:rFonts w:ascii="Garamond" w:hAnsi="Garamond" w:cs="Garamond"/>
          <w:noProof/>
          <w:position w:val="3"/>
          <w:sz w:val="20"/>
          <w:szCs w:val="20"/>
        </w:rPr>
        <w:drawing>
          <wp:anchor distT="0" distB="0" distL="114300" distR="114300" simplePos="0" relativeHeight="251660288" behindDoc="0" locked="0" layoutInCell="1" allowOverlap="1" wp14:anchorId="757D8555" wp14:editId="6B710F63">
            <wp:simplePos x="0" y="0"/>
            <wp:positionH relativeFrom="column">
              <wp:posOffset>45720</wp:posOffset>
            </wp:positionH>
            <wp:positionV relativeFrom="paragraph">
              <wp:posOffset>27305</wp:posOffset>
            </wp:positionV>
            <wp:extent cx="1912620" cy="670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670560"/>
                    </a:xfrm>
                    <a:prstGeom prst="rect">
                      <a:avLst/>
                    </a:prstGeom>
                    <a:noFill/>
                    <a:ln>
                      <a:noFill/>
                    </a:ln>
                  </pic:spPr>
                </pic:pic>
              </a:graphicData>
            </a:graphic>
          </wp:anchor>
        </w:drawing>
      </w:r>
    </w:p>
    <w:p w14:paraId="4BF6E6B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59FDE56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C5681F9"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1DC51A55"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D8FDF82"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z w:val="32"/>
          <w:szCs w:val="32"/>
        </w:rPr>
      </w:pPr>
      <w:r w:rsidRPr="004C3EAF">
        <w:rPr>
          <w:rFonts w:ascii="Garamond" w:hAnsi="Garamond" w:cs="Garamond"/>
          <w:spacing w:val="-1"/>
          <w:sz w:val="32"/>
          <w:szCs w:val="32"/>
        </w:rPr>
        <w:t>July</w:t>
      </w:r>
      <w:r w:rsidRPr="004C3EAF">
        <w:rPr>
          <w:rFonts w:ascii="Garamond" w:hAnsi="Garamond" w:cs="Garamond"/>
          <w:spacing w:val="-11"/>
          <w:sz w:val="32"/>
          <w:szCs w:val="32"/>
        </w:rPr>
        <w:t xml:space="preserve"> </w:t>
      </w:r>
      <w:r w:rsidRPr="004C3EAF">
        <w:rPr>
          <w:rFonts w:ascii="Garamond" w:hAnsi="Garamond" w:cs="Garamond"/>
          <w:spacing w:val="-1"/>
          <w:sz w:val="32"/>
          <w:szCs w:val="32"/>
        </w:rPr>
        <w:t>2019</w:t>
      </w:r>
    </w:p>
    <w:p w14:paraId="037E53A6" w14:textId="77777777" w:rsidR="00C93722" w:rsidRPr="004C3EAF" w:rsidRDefault="00C93722" w:rsidP="00C93722"/>
    <w:p w14:paraId="205BBD7B" w14:textId="77777777" w:rsidR="00BB29B6" w:rsidRPr="004C3EAF" w:rsidRDefault="00BB29B6">
      <w:pPr>
        <w:rPr>
          <w:rFonts w:ascii="Times New Roman" w:hAnsi="Times New Roman" w:cs="Times New Roman"/>
          <w:b/>
        </w:rPr>
      </w:pPr>
      <w:r w:rsidRPr="004C3EAF">
        <w:rPr>
          <w:rFonts w:ascii="Times New Roman" w:hAnsi="Times New Roman" w:cs="Times New Roman"/>
          <w:b/>
        </w:rPr>
        <w:lastRenderedPageBreak/>
        <w:br w:type="page"/>
      </w:r>
    </w:p>
    <w:p w14:paraId="7A80D7AB" w14:textId="77777777" w:rsidR="00C93722" w:rsidRPr="004C3EAF" w:rsidRDefault="00C93722">
      <w:pPr>
        <w:rPr>
          <w:rFonts w:ascii="Times New Roman" w:eastAsiaTheme="majorEastAsia" w:hAnsi="Times New Roman" w:cs="Times New Roman"/>
          <w:color w:val="2F5496" w:themeColor="accent1" w:themeShade="BF"/>
          <w:sz w:val="32"/>
          <w:szCs w:val="32"/>
        </w:rPr>
      </w:pPr>
      <w:r w:rsidRPr="004C3EAF">
        <w:rPr>
          <w:rFonts w:ascii="Times New Roman" w:hAnsi="Times New Roman" w:cs="Times New Roman"/>
        </w:rPr>
        <w:lastRenderedPageBreak/>
        <w:br w:type="page"/>
      </w:r>
    </w:p>
    <w:p w14:paraId="3BDEBFF8" w14:textId="77777777" w:rsidR="00BB29B6" w:rsidRPr="004C3EAF" w:rsidRDefault="00BB29B6" w:rsidP="00845E19">
      <w:pPr>
        <w:pStyle w:val="Ttulo1"/>
        <w:rPr>
          <w:rFonts w:cs="Times New Roman"/>
        </w:rPr>
      </w:pPr>
      <w:bookmarkStart w:id="1" w:name="_Toc9418015"/>
      <w:r w:rsidRPr="004C3EAF">
        <w:rPr>
          <w:rFonts w:cs="Times New Roman"/>
        </w:rPr>
        <w:lastRenderedPageBreak/>
        <w:t>Acknowledgments</w:t>
      </w:r>
      <w:bookmarkEnd w:id="1"/>
    </w:p>
    <w:p w14:paraId="6B7768E1" w14:textId="77777777" w:rsidR="00BB29B6" w:rsidRPr="004C3EAF" w:rsidRDefault="00BB29B6">
      <w:pPr>
        <w:rPr>
          <w:rFonts w:ascii="Times New Roman" w:hAnsi="Times New Roman" w:cs="Times New Roman"/>
          <w:b/>
        </w:rPr>
      </w:pPr>
    </w:p>
    <w:p w14:paraId="5EFF6D22"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2AAACD15" w14:textId="77777777" w:rsidR="00890B81" w:rsidRPr="004C3EAF" w:rsidRDefault="00BB29B6" w:rsidP="00845E19">
      <w:pPr>
        <w:pStyle w:val="Ttulo1"/>
        <w:rPr>
          <w:rFonts w:cs="Times New Roman"/>
        </w:rPr>
      </w:pPr>
      <w:bookmarkStart w:id="2" w:name="_Toc9418016"/>
      <w:r w:rsidRPr="004C3EAF">
        <w:rPr>
          <w:rFonts w:cs="Times New Roman"/>
        </w:rPr>
        <w:lastRenderedPageBreak/>
        <w:t>Approval and signature</w:t>
      </w:r>
      <w:bookmarkEnd w:id="2"/>
    </w:p>
    <w:p w14:paraId="080A92B0" w14:textId="132C6EFE" w:rsidR="00BB29B6" w:rsidRPr="004C3EAF" w:rsidRDefault="00BB29B6" w:rsidP="00845E19">
      <w:pPr>
        <w:pStyle w:val="Ttulo1"/>
        <w:rPr>
          <w:rFonts w:cs="Times New Roman"/>
        </w:rPr>
      </w:pPr>
      <w:r w:rsidRPr="004C3EAF">
        <w:rPr>
          <w:rFonts w:cs="Times New Roman"/>
        </w:rPr>
        <w:br w:type="page"/>
      </w:r>
    </w:p>
    <w:p w14:paraId="18AA1B8B" w14:textId="77777777" w:rsidR="00BB29B6" w:rsidRPr="004C3EAF" w:rsidRDefault="00BB29B6" w:rsidP="00845E19">
      <w:pPr>
        <w:pStyle w:val="Ttulo1"/>
        <w:rPr>
          <w:rFonts w:cs="Times New Roman"/>
        </w:rPr>
      </w:pPr>
      <w:bookmarkStart w:id="3" w:name="_Toc9418017"/>
      <w:r w:rsidRPr="004C3EAF">
        <w:rPr>
          <w:rFonts w:cs="Times New Roman"/>
        </w:rPr>
        <w:lastRenderedPageBreak/>
        <w:t>Abstract</w:t>
      </w:r>
      <w:bookmarkEnd w:id="3"/>
    </w:p>
    <w:p w14:paraId="50EF606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bookmarkStart w:id="4" w:name="_Toc9418018" w:displacedByCustomXml="next"/>
    <w:sdt>
      <w:sdtPr>
        <w:rPr>
          <w:rFonts w:asciiTheme="minorHAnsi" w:eastAsiaTheme="minorHAnsi" w:hAnsiTheme="minorHAnsi" w:cs="Times New Roman"/>
          <w:color w:val="auto"/>
          <w:sz w:val="22"/>
          <w:szCs w:val="22"/>
        </w:rPr>
        <w:id w:val="-124781019"/>
        <w:docPartObj>
          <w:docPartGallery w:val="Table of Contents"/>
          <w:docPartUnique/>
        </w:docPartObj>
      </w:sdtPr>
      <w:sdtEndPr>
        <w:rPr>
          <w:b/>
          <w:bCs/>
        </w:rPr>
      </w:sdtEndPr>
      <w:sdtContent>
        <w:p w14:paraId="0A528FD6" w14:textId="77777777" w:rsidR="00845E19" w:rsidRPr="004C3EAF" w:rsidRDefault="00845E19" w:rsidP="00845E19">
          <w:pPr>
            <w:pStyle w:val="Ttulo1"/>
            <w:rPr>
              <w:rFonts w:cs="Times New Roman"/>
            </w:rPr>
          </w:pPr>
          <w:r w:rsidRPr="004C3EAF">
            <w:rPr>
              <w:rFonts w:cs="Times New Roman"/>
            </w:rPr>
            <w:t>Table of contents</w:t>
          </w:r>
          <w:bookmarkEnd w:id="4"/>
        </w:p>
        <w:p w14:paraId="1C64C99B" w14:textId="77777777" w:rsidR="00845E19" w:rsidRPr="004C3EAF" w:rsidRDefault="00845E19" w:rsidP="00845E19">
          <w:pPr>
            <w:rPr>
              <w:rFonts w:ascii="Times New Roman" w:hAnsi="Times New Roman" w:cs="Times New Roman"/>
            </w:rPr>
          </w:pPr>
        </w:p>
        <w:p w14:paraId="35E795FF" w14:textId="38E758FF" w:rsidR="00117B71" w:rsidRPr="007371B1" w:rsidRDefault="00845E19">
          <w:pPr>
            <w:pStyle w:val="TDC1"/>
            <w:tabs>
              <w:tab w:val="right" w:leader="dot" w:pos="8494"/>
            </w:tabs>
            <w:rPr>
              <w:rFonts w:ascii="Times New Roman" w:eastAsiaTheme="minorEastAsia" w:hAnsi="Times New Roman" w:cs="Times New Roman"/>
              <w:noProof/>
              <w:lang w:val="es-ES" w:eastAsia="es-ES"/>
            </w:rPr>
          </w:pPr>
          <w:r w:rsidRPr="007371B1">
            <w:rPr>
              <w:rFonts w:ascii="Times New Roman" w:hAnsi="Times New Roman" w:cs="Times New Roman"/>
              <w:sz w:val="24"/>
            </w:rPr>
            <w:fldChar w:fldCharType="begin"/>
          </w:r>
          <w:r w:rsidRPr="007371B1">
            <w:rPr>
              <w:rFonts w:ascii="Times New Roman" w:hAnsi="Times New Roman" w:cs="Times New Roman"/>
              <w:sz w:val="24"/>
            </w:rPr>
            <w:instrText xml:space="preserve"> TOC \o "1-3" \h \z \u </w:instrText>
          </w:r>
          <w:r w:rsidRPr="007371B1">
            <w:rPr>
              <w:rFonts w:ascii="Times New Roman" w:hAnsi="Times New Roman" w:cs="Times New Roman"/>
              <w:sz w:val="24"/>
            </w:rPr>
            <w:fldChar w:fldCharType="separate"/>
          </w:r>
          <w:hyperlink w:anchor="_Toc9418015" w:history="1">
            <w:r w:rsidR="00117B71" w:rsidRPr="007371B1">
              <w:rPr>
                <w:rStyle w:val="Hipervnculo"/>
                <w:rFonts w:ascii="Times New Roman" w:hAnsi="Times New Roman" w:cs="Times New Roman"/>
                <w:noProof/>
              </w:rPr>
              <w:t>Acknowledgments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_Toc9418015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4</w:t>
            </w:r>
            <w:r w:rsidR="00117B71" w:rsidRPr="007371B1">
              <w:rPr>
                <w:rFonts w:ascii="Times New Roman" w:hAnsi="Times New Roman" w:cs="Times New Roman"/>
                <w:noProof/>
                <w:webHidden/>
              </w:rPr>
              <w:fldChar w:fldCharType="end"/>
            </w:r>
          </w:hyperlink>
        </w:p>
        <w:p w14:paraId="10723680" w14:textId="497D2829"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6" w:history="1">
            <w:r w:rsidRPr="007371B1">
              <w:rPr>
                <w:rStyle w:val="Hipervnculo"/>
                <w:rFonts w:ascii="Times New Roman" w:hAnsi="Times New Roman" w:cs="Times New Roman"/>
                <w:noProof/>
              </w:rPr>
              <w:t>Approval and signature</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5</w:t>
            </w:r>
            <w:r w:rsidRPr="007371B1">
              <w:rPr>
                <w:rFonts w:ascii="Times New Roman" w:hAnsi="Times New Roman" w:cs="Times New Roman"/>
                <w:noProof/>
                <w:webHidden/>
              </w:rPr>
              <w:fldChar w:fldCharType="end"/>
            </w:r>
          </w:hyperlink>
        </w:p>
        <w:p w14:paraId="08A17E55" w14:textId="7C0958C5"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7" w:history="1">
            <w:r w:rsidRPr="007371B1">
              <w:rPr>
                <w:rStyle w:val="Hipervnculo"/>
                <w:rFonts w:ascii="Times New Roman" w:hAnsi="Times New Roman" w:cs="Times New Roman"/>
                <w:noProof/>
              </w:rPr>
              <w:t>Abstract</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6</w:t>
            </w:r>
            <w:r w:rsidRPr="007371B1">
              <w:rPr>
                <w:rFonts w:ascii="Times New Roman" w:hAnsi="Times New Roman" w:cs="Times New Roman"/>
                <w:noProof/>
                <w:webHidden/>
              </w:rPr>
              <w:fldChar w:fldCharType="end"/>
            </w:r>
          </w:hyperlink>
        </w:p>
        <w:p w14:paraId="36782E57" w14:textId="5A970454"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8" w:history="1">
            <w:r w:rsidRPr="007371B1">
              <w:rPr>
                <w:rStyle w:val="Hipervnculo"/>
                <w:rFonts w:ascii="Times New Roman" w:hAnsi="Times New Roman" w:cs="Times New Roman"/>
                <w:noProof/>
              </w:rPr>
              <w:t>Table of contents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7</w:t>
            </w:r>
            <w:r w:rsidRPr="007371B1">
              <w:rPr>
                <w:rFonts w:ascii="Times New Roman" w:hAnsi="Times New Roman" w:cs="Times New Roman"/>
                <w:noProof/>
                <w:webHidden/>
              </w:rPr>
              <w:fldChar w:fldCharType="end"/>
            </w:r>
          </w:hyperlink>
        </w:p>
        <w:p w14:paraId="3B968092" w14:textId="5F8663D9"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19" w:history="1">
            <w:r w:rsidRPr="007371B1">
              <w:rPr>
                <w:rStyle w:val="Hipervnculo"/>
                <w:rFonts w:ascii="Times New Roman" w:hAnsi="Times New Roman" w:cs="Times New Roman"/>
                <w:noProof/>
              </w:rPr>
              <w:t>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Introduction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_Toc9418019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17CF2706" w14:textId="2FA5A675"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0" w:history="1">
            <w:r w:rsidRPr="007371B1">
              <w:rPr>
                <w:rStyle w:val="Hipervnculo"/>
                <w:rFonts w:ascii="Times New Roman" w:hAnsi="Times New Roman" w:cs="Times New Roman"/>
                <w:noProof/>
              </w:rPr>
              <w:t>1.1.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_Toc9418020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0118DDB0" w14:textId="18D76EF5"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1" w:history="1">
            <w:r w:rsidRPr="007371B1">
              <w:rPr>
                <w:rStyle w:val="Hipervnculo"/>
                <w:rFonts w:ascii="Times New Roman" w:hAnsi="Times New Roman" w:cs="Times New Roman"/>
                <w:noProof/>
              </w:rPr>
              <w:t>1.1.1.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 in Spanish population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_Toc9418021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31FD4782" w14:textId="25BF3824"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2" w:history="1">
            <w:r w:rsidRPr="007371B1">
              <w:rPr>
                <w:rStyle w:val="Hipervnculo"/>
                <w:rFonts w:ascii="Times New Roman" w:hAnsi="Times New Roman" w:cs="Times New Roman"/>
                <w:noProof/>
              </w:rPr>
              <w:t>1.2.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Causes of 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_Toc9418022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5CAD2443" w14:textId="5A3EAF7F"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3" w:history="1">
            <w:r w:rsidRPr="007371B1">
              <w:rPr>
                <w:rStyle w:val="Hipervnculo"/>
                <w:rFonts w:ascii="Times New Roman" w:hAnsi="Times New Roman" w:cs="Times New Roman"/>
                <w:noProof/>
              </w:rPr>
              <w:t>1.2.1.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Body weight control</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_Toc9418023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7955021B" w14:textId="5A550789"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4" w:history="1">
            <w:r w:rsidRPr="007371B1">
              <w:rPr>
                <w:rStyle w:val="Hipervnculo"/>
                <w:rFonts w:ascii="Times New Roman" w:hAnsi="Times New Roman" w:cs="Times New Roman"/>
                <w:noProof/>
              </w:rPr>
              <w:t>1.2.2.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Disorder of energy homeostasis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_Toc9418024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4D3EAD36" w14:textId="22D7C4E8"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5" w:history="1">
            <w:r w:rsidRPr="007371B1">
              <w:rPr>
                <w:rStyle w:val="Hipervnculo"/>
                <w:rFonts w:ascii="Times New Roman" w:hAnsi="Times New Roman" w:cs="Times New Roman"/>
                <w:noProof/>
              </w:rPr>
              <w:t>1.3.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Importance of genetics in 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_Toc9418025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9</w:t>
            </w:r>
            <w:r w:rsidRPr="007371B1">
              <w:rPr>
                <w:rFonts w:ascii="Times New Roman" w:hAnsi="Times New Roman" w:cs="Times New Roman"/>
                <w:noProof/>
                <w:webHidden/>
              </w:rPr>
              <w:fldChar w:fldCharType="end"/>
            </w:r>
          </w:hyperlink>
        </w:p>
        <w:p w14:paraId="7887BD91" w14:textId="3171D834"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6" w:history="1">
            <w:r w:rsidRPr="007371B1">
              <w:rPr>
                <w:rStyle w:val="Hipervnculo"/>
                <w:rFonts w:ascii="Times New Roman" w:hAnsi="Times New Roman" w:cs="Times New Roman"/>
                <w:noProof/>
              </w:rPr>
              <w:t>1.4.</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 susceptibility variants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9</w:t>
            </w:r>
            <w:r w:rsidRPr="007371B1">
              <w:rPr>
                <w:rFonts w:ascii="Times New Roman" w:hAnsi="Times New Roman" w:cs="Times New Roman"/>
                <w:noProof/>
                <w:webHidden/>
              </w:rPr>
              <w:fldChar w:fldCharType="end"/>
            </w:r>
          </w:hyperlink>
        </w:p>
        <w:p w14:paraId="0A80526C" w14:textId="5344203B"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27" w:history="1">
            <w:r w:rsidRPr="007371B1">
              <w:rPr>
                <w:rStyle w:val="Hipervnculo"/>
                <w:rFonts w:ascii="Times New Roman" w:hAnsi="Times New Roman" w:cs="Times New Roman"/>
                <w:noProof/>
              </w:rPr>
              <w:t>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Objectives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10</w:t>
            </w:r>
            <w:r w:rsidRPr="007371B1">
              <w:rPr>
                <w:rFonts w:ascii="Times New Roman" w:hAnsi="Times New Roman" w:cs="Times New Roman"/>
                <w:noProof/>
                <w:webHidden/>
              </w:rPr>
              <w:fldChar w:fldCharType="end"/>
            </w:r>
          </w:hyperlink>
        </w:p>
        <w:p w14:paraId="77E6BEB1" w14:textId="392BC3D5"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28" w:history="1">
            <w:r w:rsidRPr="007371B1">
              <w:rPr>
                <w:rStyle w:val="Hipervnculo"/>
                <w:rFonts w:ascii="Times New Roman" w:hAnsi="Times New Roman" w:cs="Times New Roman"/>
                <w:noProof/>
              </w:rPr>
              <w:t>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Material and Methods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6A2E74C0" w14:textId="45CAEE02"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9" w:history="1">
            <w:r w:rsidRPr="007371B1">
              <w:rPr>
                <w:rStyle w:val="Hipervnculo"/>
                <w:rFonts w:ascii="Times New Roman" w:hAnsi="Times New Roman" w:cs="Times New Roman"/>
                <w:noProof/>
              </w:rPr>
              <w:t>3.1.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Data description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_Toc9418029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1341CBAF" w14:textId="1B4C43A2"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30" w:history="1">
            <w:r w:rsidRPr="007371B1">
              <w:rPr>
                <w:rStyle w:val="Hipervnculo"/>
                <w:rFonts w:ascii="Times New Roman" w:hAnsi="Times New Roman" w:cs="Times New Roman"/>
                <w:noProof/>
              </w:rPr>
              <w:t>3.2.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SNV detection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_Toc9418030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5E2FBB8F" w14:textId="5129B8DD"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31" w:history="1">
            <w:r w:rsidRPr="007371B1">
              <w:rPr>
                <w:rStyle w:val="Hipervnculo"/>
                <w:rFonts w:ascii="Times New Roman" w:hAnsi="Times New Roman" w:cs="Times New Roman"/>
                <w:noProof/>
              </w:rPr>
              <w:t>3.2.1.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Variant Calling</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_Toc9418031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683B459F" w14:textId="2D2E6A16"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32" w:history="1">
            <w:r w:rsidRPr="007371B1">
              <w:rPr>
                <w:rStyle w:val="Hipervnculo"/>
                <w:rFonts w:ascii="Times New Roman" w:hAnsi="Times New Roman" w:cs="Times New Roman"/>
                <w:noProof/>
              </w:rPr>
              <w:t>3.2.2.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Significant variants detection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_Toc9418032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44EADB73" w14:textId="7C505B59"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33" w:history="1">
            <w:r w:rsidRPr="007371B1">
              <w:rPr>
                <w:rStyle w:val="Hipervnculo"/>
                <w:rFonts w:ascii="Times New Roman" w:hAnsi="Times New Roman" w:cs="Times New Roman"/>
                <w:noProof/>
              </w:rPr>
              <w:t>3.3.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CNV Analysis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_Toc9418033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00F199D5" w14:textId="5B1BA5FF"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4" w:history="1">
            <w:r w:rsidRPr="007371B1">
              <w:rPr>
                <w:rStyle w:val="Hipervnculo"/>
                <w:rFonts w:ascii="Times New Roman" w:hAnsi="Times New Roman" w:cs="Times New Roman"/>
                <w:noProof/>
              </w:rPr>
              <w:t>4.</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Results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_Toc9418034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12</w:t>
            </w:r>
            <w:r w:rsidRPr="007371B1">
              <w:rPr>
                <w:rFonts w:ascii="Times New Roman" w:hAnsi="Times New Roman" w:cs="Times New Roman"/>
                <w:noProof/>
                <w:webHidden/>
              </w:rPr>
              <w:fldChar w:fldCharType="end"/>
            </w:r>
          </w:hyperlink>
        </w:p>
        <w:p w14:paraId="4FA725B1" w14:textId="6E1C037B"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5" w:history="1">
            <w:r w:rsidRPr="007371B1">
              <w:rPr>
                <w:rStyle w:val="Hipervnculo"/>
                <w:rFonts w:ascii="Times New Roman" w:hAnsi="Times New Roman" w:cs="Times New Roman"/>
                <w:noProof/>
              </w:rPr>
              <w:t>5.</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Discussion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_Toc9418035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13</w:t>
            </w:r>
            <w:r w:rsidRPr="007371B1">
              <w:rPr>
                <w:rFonts w:ascii="Times New Roman" w:hAnsi="Times New Roman" w:cs="Times New Roman"/>
                <w:noProof/>
                <w:webHidden/>
              </w:rPr>
              <w:fldChar w:fldCharType="end"/>
            </w:r>
          </w:hyperlink>
        </w:p>
        <w:p w14:paraId="5A5DE2AC" w14:textId="2D410537"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6" w:history="1">
            <w:r w:rsidRPr="007371B1">
              <w:rPr>
                <w:rStyle w:val="Hipervnculo"/>
                <w:rFonts w:ascii="Times New Roman" w:hAnsi="Times New Roman" w:cs="Times New Roman"/>
                <w:noProof/>
              </w:rPr>
              <w:t>6.</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Conclusion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14</w:t>
            </w:r>
            <w:r w:rsidRPr="007371B1">
              <w:rPr>
                <w:rFonts w:ascii="Times New Roman" w:hAnsi="Times New Roman" w:cs="Times New Roman"/>
                <w:noProof/>
                <w:webHidden/>
              </w:rPr>
              <w:fldChar w:fldCharType="end"/>
            </w:r>
          </w:hyperlink>
        </w:p>
        <w:p w14:paraId="5ECDD0F3" w14:textId="0395BFBE"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7" w:history="1">
            <w:r w:rsidRPr="007371B1">
              <w:rPr>
                <w:rStyle w:val="Hipervnculo"/>
                <w:rFonts w:ascii="Times New Roman" w:hAnsi="Times New Roman" w:cs="Times New Roman"/>
                <w:noProof/>
              </w:rPr>
              <w:t>7.</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Bibliography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15</w:t>
            </w:r>
            <w:r w:rsidRPr="007371B1">
              <w:rPr>
                <w:rFonts w:ascii="Times New Roman" w:hAnsi="Times New Roman" w:cs="Times New Roman"/>
                <w:noProof/>
                <w:webHidden/>
              </w:rPr>
              <w:fldChar w:fldCharType="end"/>
            </w:r>
          </w:hyperlink>
        </w:p>
        <w:p w14:paraId="18D5ECC5" w14:textId="76D83750"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38" w:history="1">
            <w:r w:rsidRPr="007371B1">
              <w:rPr>
                <w:rStyle w:val="Hipervnculo"/>
                <w:rFonts w:ascii="Times New Roman" w:hAnsi="Times New Roman" w:cs="Times New Roman"/>
                <w:noProof/>
              </w:rPr>
              <w:t>Appendix</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16</w:t>
            </w:r>
            <w:r w:rsidRPr="007371B1">
              <w:rPr>
                <w:rFonts w:ascii="Times New Roman" w:hAnsi="Times New Roman" w:cs="Times New Roman"/>
                <w:noProof/>
                <w:webHidden/>
              </w:rPr>
              <w:fldChar w:fldCharType="end"/>
            </w:r>
          </w:hyperlink>
        </w:p>
        <w:p w14:paraId="087D3E6B" w14:textId="0BC23E95" w:rsidR="00845E19" w:rsidRPr="004C3EAF" w:rsidRDefault="00845E19">
          <w:pPr>
            <w:rPr>
              <w:rFonts w:ascii="Times New Roman" w:hAnsi="Times New Roman" w:cs="Times New Roman"/>
            </w:rPr>
          </w:pPr>
          <w:r w:rsidRPr="007371B1">
            <w:rPr>
              <w:rFonts w:ascii="Times New Roman" w:hAnsi="Times New Roman" w:cs="Times New Roman"/>
              <w:b/>
              <w:bCs/>
              <w:sz w:val="24"/>
            </w:rPr>
            <w:fldChar w:fldCharType="end"/>
          </w:r>
        </w:p>
      </w:sdtContent>
    </w:sdt>
    <w:p w14:paraId="47D0364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19BF56D4" w14:textId="77777777" w:rsidR="00BB29B6" w:rsidRPr="004C3EAF" w:rsidRDefault="00BB29B6" w:rsidP="00BB29B6">
      <w:pPr>
        <w:pStyle w:val="Ttulo1"/>
        <w:numPr>
          <w:ilvl w:val="0"/>
          <w:numId w:val="1"/>
        </w:numPr>
        <w:ind w:left="284"/>
        <w:rPr>
          <w:rFonts w:cs="Times New Roman"/>
        </w:rPr>
      </w:pPr>
      <w:bookmarkStart w:id="5" w:name="_Toc9418019"/>
      <w:r w:rsidRPr="004C3EAF">
        <w:rPr>
          <w:rFonts w:cs="Times New Roman"/>
        </w:rPr>
        <w:lastRenderedPageBreak/>
        <w:t>Introduction</w:t>
      </w:r>
      <w:bookmarkEnd w:id="5"/>
    </w:p>
    <w:p w14:paraId="5C72C15B" w14:textId="3CB840FF" w:rsidR="00BA45B1" w:rsidRPr="004C3EAF" w:rsidRDefault="00BA45B1" w:rsidP="004C3EAF">
      <w:pPr>
        <w:pStyle w:val="Ttulo2"/>
        <w:numPr>
          <w:ilvl w:val="1"/>
          <w:numId w:val="1"/>
        </w:numPr>
        <w:spacing w:after="240"/>
        <w:ind w:left="709" w:hanging="482"/>
        <w:rPr>
          <w:rFonts w:cs="Times New Roman"/>
        </w:rPr>
      </w:pPr>
      <w:bookmarkStart w:id="6" w:name="_Toc9418020"/>
      <w:r w:rsidRPr="004C3EAF">
        <w:rPr>
          <w:rFonts w:cs="Times New Roman"/>
        </w:rPr>
        <w:t>Obesity</w:t>
      </w:r>
      <w:bookmarkEnd w:id="6"/>
    </w:p>
    <w:p w14:paraId="54BFAD45" w14:textId="72A3BEF4" w:rsidR="004B535C" w:rsidRDefault="007D6721" w:rsidP="006B2A57">
      <w:pPr>
        <w:spacing w:line="360" w:lineRule="auto"/>
        <w:ind w:left="227"/>
        <w:jc w:val="both"/>
        <w:rPr>
          <w:rFonts w:ascii="Times New Roman" w:hAnsi="Times New Roman" w:cs="Times New Roman"/>
        </w:rPr>
      </w:pPr>
      <w:r w:rsidRPr="004C3EAF">
        <w:rPr>
          <w:rFonts w:ascii="Times New Roman" w:hAnsi="Times New Roman" w:cs="Times New Roman"/>
        </w:rPr>
        <w:t xml:space="preserve">Obesity is a medical condition that is defined as excessive accumulation </w:t>
      </w:r>
      <w:r w:rsidR="00155002">
        <w:rPr>
          <w:rFonts w:ascii="Times New Roman" w:hAnsi="Times New Roman" w:cs="Times New Roman"/>
        </w:rPr>
        <w:t xml:space="preserve">of fat </w:t>
      </w:r>
      <w:r w:rsidRPr="004C3EAF">
        <w:rPr>
          <w:rFonts w:ascii="Times New Roman" w:hAnsi="Times New Roman" w:cs="Times New Roman"/>
        </w:rPr>
        <w:t xml:space="preserve">that is sufficient to adversely affect </w:t>
      </w:r>
      <w:r w:rsidR="004C3EAF" w:rsidRPr="004C3EAF">
        <w:rPr>
          <w:rFonts w:ascii="Times New Roman" w:hAnsi="Times New Roman" w:cs="Times New Roman"/>
        </w:rPr>
        <w:t>health</w:t>
      </w:r>
      <w:r w:rsidR="004C3EAF">
        <w:rPr>
          <w:rFonts w:ascii="Times New Roman" w:hAnsi="Times New Roman" w:cs="Times New Roman"/>
        </w:rPr>
        <w:fldChar w:fldCharType="begin" w:fldLock="1"/>
      </w:r>
      <w:r w:rsidR="00847CC4">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mendeley":{"formattedCitation":"&lt;sup&gt;1,2&lt;/sup&gt;","plainTextFormattedCitation":"1,2","previouslyFormattedCitation":"&lt;sup&gt;1,2&lt;/sup&gt;"},"properties":{"noteIndex":0},"schema":"https://github.com/citation-style-language/schema/raw/master/csl-citation.json"}</w:instrText>
      </w:r>
      <w:r w:rsidR="004C3EAF">
        <w:rPr>
          <w:rFonts w:ascii="Times New Roman" w:hAnsi="Times New Roman" w:cs="Times New Roman"/>
        </w:rPr>
        <w:fldChar w:fldCharType="separate"/>
      </w:r>
      <w:r w:rsidR="004C3EAF" w:rsidRPr="004C3EAF">
        <w:rPr>
          <w:rFonts w:ascii="Times New Roman" w:hAnsi="Times New Roman" w:cs="Times New Roman"/>
          <w:noProof/>
          <w:vertAlign w:val="superscript"/>
        </w:rPr>
        <w:t>1,2</w:t>
      </w:r>
      <w:r w:rsidR="004C3EAF">
        <w:rPr>
          <w:rFonts w:ascii="Times New Roman" w:hAnsi="Times New Roman" w:cs="Times New Roman"/>
        </w:rPr>
        <w:fldChar w:fldCharType="end"/>
      </w:r>
      <w:r w:rsidRPr="004C3EAF">
        <w:rPr>
          <w:rFonts w:ascii="Times New Roman" w:hAnsi="Times New Roman" w:cs="Times New Roman"/>
        </w:rPr>
        <w:t>.</w:t>
      </w:r>
      <w:r w:rsidR="004C3EAF">
        <w:rPr>
          <w:rFonts w:ascii="Times New Roman" w:hAnsi="Times New Roman" w:cs="Times New Roman"/>
        </w:rPr>
        <w:t xml:space="preserve"> </w:t>
      </w:r>
      <w:r w:rsidR="004C3EAF" w:rsidRPr="004C3EAF">
        <w:rPr>
          <w:rFonts w:ascii="Times New Roman" w:hAnsi="Times New Roman" w:cs="Times New Roman"/>
        </w:rPr>
        <w:t>According World</w:t>
      </w:r>
      <w:r w:rsidR="004C3EAF">
        <w:rPr>
          <w:rFonts w:ascii="Times New Roman" w:hAnsi="Times New Roman" w:cs="Times New Roman"/>
        </w:rPr>
        <w:t xml:space="preserve"> </w:t>
      </w:r>
      <w:r w:rsidR="004C3EAF" w:rsidRPr="004C3EAF">
        <w:rPr>
          <w:rFonts w:ascii="Times New Roman" w:hAnsi="Times New Roman" w:cs="Times New Roman"/>
        </w:rPr>
        <w:t>Health Organization</w:t>
      </w:r>
      <w:r w:rsidR="004C3EAF">
        <w:rPr>
          <w:rFonts w:ascii="Times New Roman" w:hAnsi="Times New Roman" w:cs="Times New Roman"/>
        </w:rPr>
        <w:t xml:space="preserve"> (WHO)</w:t>
      </w:r>
      <w:r w:rsidR="004C3EAF" w:rsidRPr="004C3EAF">
        <w:rPr>
          <w:rFonts w:ascii="Times New Roman" w:hAnsi="Times New Roman" w:cs="Times New Roman"/>
        </w:rPr>
        <w:t>, people with a body mass index (BMI; weight in kg/height in m</w:t>
      </w:r>
      <w:r w:rsidR="004C3EAF" w:rsidRPr="00847CC4">
        <w:rPr>
          <w:rFonts w:ascii="Times New Roman" w:hAnsi="Times New Roman" w:cs="Times New Roman"/>
          <w:vertAlign w:val="superscript"/>
        </w:rPr>
        <w:t>2</w:t>
      </w:r>
      <w:r w:rsidR="004C3EAF" w:rsidRPr="004C3EAF">
        <w:rPr>
          <w:rFonts w:ascii="Times New Roman" w:hAnsi="Times New Roman" w:cs="Times New Roman"/>
        </w:rPr>
        <w:t>) higher than 30 kg/m2</w:t>
      </w:r>
      <w:r w:rsidR="004C3EAF">
        <w:rPr>
          <w:rFonts w:ascii="Times New Roman" w:hAnsi="Times New Roman" w:cs="Times New Roman"/>
        </w:rPr>
        <w:t xml:space="preserve"> </w:t>
      </w:r>
      <w:r w:rsidR="004C3EAF" w:rsidRPr="004C3EAF">
        <w:rPr>
          <w:rFonts w:ascii="Times New Roman" w:hAnsi="Times New Roman" w:cs="Times New Roman"/>
        </w:rPr>
        <w:t>are considered obese</w:t>
      </w:r>
      <w:r w:rsidR="00155002">
        <w:rPr>
          <w:rFonts w:ascii="Times New Roman" w:hAnsi="Times New Roman" w:cs="Times New Roman"/>
        </w:rPr>
        <w:t xml:space="preserve"> and higher than 25</w:t>
      </w:r>
      <w:r w:rsidR="00081B06">
        <w:rPr>
          <w:rFonts w:ascii="Times New Roman" w:hAnsi="Times New Roman" w:cs="Times New Roman"/>
        </w:rPr>
        <w:t xml:space="preserve"> </w:t>
      </w:r>
      <w:r w:rsidR="00081B06" w:rsidRPr="004C3EAF">
        <w:rPr>
          <w:rFonts w:ascii="Times New Roman" w:hAnsi="Times New Roman" w:cs="Times New Roman"/>
        </w:rPr>
        <w:t>kg/m2</w:t>
      </w:r>
      <w:r w:rsidR="00081B06">
        <w:rPr>
          <w:rFonts w:ascii="Times New Roman" w:hAnsi="Times New Roman" w:cs="Times New Roman"/>
        </w:rPr>
        <w:t xml:space="preserve"> are considered overweight</w:t>
      </w:r>
      <w:r w:rsidR="004C3EAF" w:rsidRPr="004C3EAF">
        <w:rPr>
          <w:rFonts w:ascii="Times New Roman" w:hAnsi="Times New Roman" w:cs="Times New Roman"/>
        </w:rPr>
        <w:t>.</w:t>
      </w:r>
      <w:r w:rsidR="004C3EAF">
        <w:rPr>
          <w:rFonts w:ascii="Times New Roman" w:hAnsi="Times New Roman" w:cs="Times New Roman"/>
        </w:rPr>
        <w:t xml:space="preserve"> </w:t>
      </w:r>
      <w:r w:rsidR="00117B71">
        <w:rPr>
          <w:rFonts w:ascii="Times New Roman" w:hAnsi="Times New Roman" w:cs="Times New Roman"/>
        </w:rPr>
        <w:t xml:space="preserve">The </w:t>
      </w:r>
      <w:r w:rsidR="00117B71" w:rsidRPr="00847CC4">
        <w:rPr>
          <w:rFonts w:ascii="Times New Roman" w:hAnsi="Times New Roman" w:cs="Times New Roman"/>
        </w:rPr>
        <w:t>30% of Americans and</w:t>
      </w:r>
      <w:r w:rsidR="00117B71">
        <w:rPr>
          <w:rFonts w:ascii="Times New Roman" w:hAnsi="Times New Roman" w:cs="Times New Roman"/>
        </w:rPr>
        <w:t xml:space="preserve"> </w:t>
      </w:r>
      <w:r w:rsidR="00117B71" w:rsidRPr="00847CC4">
        <w:rPr>
          <w:rFonts w:ascii="Times New Roman" w:hAnsi="Times New Roman" w:cs="Times New Roman"/>
        </w:rPr>
        <w:t>10%–20% of Europeans are classified as obese, with the prevalence</w:t>
      </w:r>
      <w:r w:rsidR="00117B71">
        <w:rPr>
          <w:rFonts w:ascii="Times New Roman" w:hAnsi="Times New Roman" w:cs="Times New Roman"/>
        </w:rPr>
        <w:t xml:space="preserve"> </w:t>
      </w:r>
      <w:r w:rsidR="00117B71" w:rsidRPr="00847CC4">
        <w:rPr>
          <w:rFonts w:ascii="Times New Roman" w:hAnsi="Times New Roman" w:cs="Times New Roman"/>
        </w:rPr>
        <w:t>rising in many developing countrie</w:t>
      </w:r>
      <w:r w:rsidR="00117B71">
        <w:rPr>
          <w:rFonts w:ascii="Times New Roman" w:hAnsi="Times New Roman" w:cs="Times New Roman"/>
        </w:rPr>
        <w:t>s</w:t>
      </w:r>
      <w:r w:rsidR="00117B71">
        <w:rPr>
          <w:rFonts w:ascii="Times New Roman" w:hAnsi="Times New Roman" w:cs="Times New Roman"/>
        </w:rPr>
        <w:fldChar w:fldCharType="begin" w:fldLock="1"/>
      </w:r>
      <w:r w:rsidR="00117B71">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117B71">
        <w:rPr>
          <w:rFonts w:ascii="Times New Roman" w:hAnsi="Times New Roman" w:cs="Times New Roman"/>
        </w:rPr>
        <w:fldChar w:fldCharType="separate"/>
      </w:r>
      <w:r w:rsidR="00117B71" w:rsidRPr="00847CC4">
        <w:rPr>
          <w:rFonts w:ascii="Times New Roman" w:hAnsi="Times New Roman" w:cs="Times New Roman"/>
          <w:noProof/>
          <w:vertAlign w:val="superscript"/>
        </w:rPr>
        <w:t>1</w:t>
      </w:r>
      <w:r w:rsidR="00117B71">
        <w:rPr>
          <w:rFonts w:ascii="Times New Roman" w:hAnsi="Times New Roman" w:cs="Times New Roman"/>
        </w:rPr>
        <w:fldChar w:fldCharType="end"/>
      </w:r>
      <w:r w:rsidR="00117B71">
        <w:rPr>
          <w:rFonts w:ascii="Times New Roman" w:hAnsi="Times New Roman" w:cs="Times New Roman"/>
        </w:rPr>
        <w:t xml:space="preserve">. </w:t>
      </w:r>
      <w:r w:rsidR="004B535C" w:rsidRPr="00155002">
        <w:rPr>
          <w:rFonts w:ascii="Times New Roman" w:hAnsi="Times New Roman" w:cs="Times New Roman"/>
        </w:rPr>
        <w:t>Being overweight or obese can have a serious impact on health. Carrying extra fat leads to serious health consequences such as cardiovascular disease (mainly heart disease and stroke), type 2 diabetes, musculoskeletal disorders like osteoarthritis, and some cancers (endometrial, breast and colon). These conditions cause premature death and substantial disability</w:t>
      </w:r>
      <w:r w:rsidR="004B535C">
        <w:rPr>
          <w:rFonts w:ascii="Times New Roman" w:hAnsi="Times New Roman" w:cs="Times New Roman"/>
        </w:rPr>
        <w:fldChar w:fldCharType="begin" w:fldLock="1"/>
      </w:r>
      <w:r w:rsidR="005E45A9">
        <w:rPr>
          <w:rFonts w:ascii="Times New Roman" w:hAnsi="Times New Roman" w:cs="Times New Roman"/>
        </w:rPr>
        <w:instrText>ADDIN CSL_CITATION {"citationItems":[{"id":"ITEM-1","itemData":{"URL":"https://www.who.int/features/qa/49/en/","accessed":{"date-parts":[["2019","5","21"]]},"author":[{"dropping-particle":"","family":"Adhanom Ghebreyesus","given":"Tedros","non-dropping-particle":"","parse-names":false,"suffix":""}],"container-title":"WHO","id":"ITEM-1","issued":{"date-parts":[["2013"]]},"publisher":"World Health Organization","title":"WHO | What are the health consequences of being overweight?","type":"webpage"},"uris":["http://www.mendeley.com/documents/?uuid=2bffe216-331a-318b-8d18-e7ade502d3b1"]}],"mendeley":{"formattedCitation":"&lt;sup&gt;3&lt;/sup&gt;","plainTextFormattedCitation":"3","previouslyFormattedCitation":"&lt;sup&gt;3&lt;/sup&gt;"},"properties":{"noteIndex":0},"schema":"https://github.com/citation-style-language/schema/raw/master/csl-citation.json"}</w:instrText>
      </w:r>
      <w:r w:rsidR="004B535C">
        <w:rPr>
          <w:rFonts w:ascii="Times New Roman" w:hAnsi="Times New Roman" w:cs="Times New Roman"/>
        </w:rPr>
        <w:fldChar w:fldCharType="separate"/>
      </w:r>
      <w:r w:rsidR="005E45A9" w:rsidRPr="005E45A9">
        <w:rPr>
          <w:rFonts w:ascii="Times New Roman" w:hAnsi="Times New Roman" w:cs="Times New Roman"/>
          <w:noProof/>
          <w:vertAlign w:val="superscript"/>
        </w:rPr>
        <w:t>3</w:t>
      </w:r>
      <w:r w:rsidR="004B535C">
        <w:rPr>
          <w:rFonts w:ascii="Times New Roman" w:hAnsi="Times New Roman" w:cs="Times New Roman"/>
        </w:rPr>
        <w:fldChar w:fldCharType="end"/>
      </w:r>
      <w:r w:rsidR="004B535C">
        <w:rPr>
          <w:rFonts w:ascii="Times New Roman" w:hAnsi="Times New Roman" w:cs="Times New Roman"/>
        </w:rPr>
        <w:t>.</w:t>
      </w:r>
    </w:p>
    <w:p w14:paraId="50A26E29" w14:textId="4C7CBDB2" w:rsidR="004B535C" w:rsidRDefault="004B535C" w:rsidP="006B2A57">
      <w:pPr>
        <w:pStyle w:val="Ttulo3"/>
        <w:numPr>
          <w:ilvl w:val="2"/>
          <w:numId w:val="1"/>
        </w:numPr>
        <w:spacing w:line="360" w:lineRule="auto"/>
        <w:ind w:left="1077"/>
      </w:pPr>
      <w:bookmarkStart w:id="7" w:name="_Toc9418021"/>
      <w:r>
        <w:t>Obesity in Spanish population</w:t>
      </w:r>
      <w:bookmarkEnd w:id="7"/>
    </w:p>
    <w:p w14:paraId="0E804933" w14:textId="5CE606AF" w:rsidR="00F519E1" w:rsidRDefault="00F519E1" w:rsidP="006B2A57">
      <w:pPr>
        <w:spacing w:line="360" w:lineRule="auto"/>
        <w:ind w:left="360"/>
        <w:jc w:val="both"/>
        <w:rPr>
          <w:rFonts w:ascii="Times New Roman" w:hAnsi="Times New Roman" w:cs="Times New Roman"/>
        </w:rPr>
      </w:pPr>
      <w:r>
        <w:rPr>
          <w:rFonts w:ascii="Times New Roman" w:hAnsi="Times New Roman" w:cs="Times New Roman"/>
        </w:rPr>
        <w:t xml:space="preserve">The 26.6% of adult population in Spain are considered as obese and 62% are overweight. </w:t>
      </w:r>
      <w:r w:rsidR="00B22D1A">
        <w:rPr>
          <w:rFonts w:ascii="Times New Roman" w:hAnsi="Times New Roman" w:cs="Times New Roman"/>
        </w:rPr>
        <w:t xml:space="preserve">Furthermore, in Spanish childhood population, the prevalence of obesity has been increasing in recent years to such a stent that, the prevalence has increase until 18.3% among children </w:t>
      </w:r>
      <w:r w:rsidR="004B535C">
        <w:rPr>
          <w:rFonts w:ascii="Times New Roman" w:hAnsi="Times New Roman" w:cs="Times New Roman"/>
        </w:rPr>
        <w:t xml:space="preserve">(0-9 years of age) and 30% </w:t>
      </w:r>
      <w:r w:rsidR="003F09EC">
        <w:rPr>
          <w:rFonts w:ascii="Times New Roman" w:hAnsi="Times New Roman" w:cs="Times New Roman"/>
        </w:rPr>
        <w:t>among</w:t>
      </w:r>
      <w:r w:rsidR="004B535C">
        <w:rPr>
          <w:rFonts w:ascii="Times New Roman" w:hAnsi="Times New Roman" w:cs="Times New Roman"/>
        </w:rPr>
        <w:t xml:space="preserve"> </w:t>
      </w:r>
      <w:r w:rsidR="003F09EC">
        <w:rPr>
          <w:rFonts w:ascii="Times New Roman" w:hAnsi="Times New Roman" w:cs="Times New Roman"/>
        </w:rPr>
        <w:t xml:space="preserve">adolescents (10-19 years of age). This data has made Spain be considered </w:t>
      </w:r>
      <w:r w:rsidR="00117B71">
        <w:rPr>
          <w:rFonts w:ascii="Times New Roman" w:hAnsi="Times New Roman" w:cs="Times New Roman"/>
        </w:rPr>
        <w:t xml:space="preserve">by WHO </w:t>
      </w:r>
      <w:r w:rsidR="00117B71" w:rsidRPr="00117B71">
        <w:rPr>
          <w:rFonts w:ascii="Times New Roman" w:hAnsi="Times New Roman" w:cs="Times New Roman"/>
        </w:rPr>
        <w:t>as one of the countries with the highest prevalence of obesity and overweight</w:t>
      </w:r>
      <w:r w:rsidR="00117B71">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{"citationItems":[{"id":"ITEM-1","itemData":{"DOI":"10.1016/S0140-6736(02)11249-9","ISSN":"01406736","abstract":"Total population 46 077 000 Median age (years) 40.1 Life expectancy at birth (years) female | male 83.8 | 77.2 GDP per capita (US$) 30 543.0 GDP spent on health (%) 9.5 Source: WHO Global Health Observatory Data Repository (1). This is one of the 53 country profiles covering developments in nutrition, physical activity and obesity in the WHO European Region. The full set of individual profiles and an overview report including methodology and summary can be downloaded from the WHO Regional Office for Europe website: http://www.euro.who.int/en/nutrition-country-profiles. Notes. The country codes refer to the ISO 3166-1 Alpha-3 country codes. Data ranking for obesity is intentionally the same as for the overweight data. BMI: body mass index. the regional Office is grateful to the european commission (ec) for its financial support for the preparation of this country profile and the development of the nutrition, obesity and physical activity database that provided data for it. Monitoring and surveillance Overweight and obesity in three age groups Adults (18/20 years and over) Intercountry comparable overweight and obesity estimates from 2008 (1) show that 62.0% of the adult population (&gt; 20 years old) in Spain were overweight and 26.6% were obese. The prevalence of overweight was higher among men (67.7%) than women (56.6%). The proportion of men and women that were obese was 26.5% and 26.7%, respectively. According to a nationally representative survey carried out in 2011–2012 among individuals aged 18 years or over, 53.7% were overweight and 17.0% were obese (based on self-reported weight and height). Overweight prevalence estimates for men and women were 63.1% and 44.1%, respectively. The prevalence of obesity for men and women was 18.0% and 16.0%, respectively (2). It should","author":[{"dropping-particle":"","family":"Summers","given":"James Bradley","non-dropping-particle":"","parse-names":false,"suffix":""},{"dropping-particle":"","family":"Kaminski","given":"Joseph M.","non-dropping-particle":"","parse-names":false,"suffix":""}],"container-title":"Lancet","id":"ITEM-1","issue":"9341","issued":{"date-parts":[["2002"]]},"page":"1249","title":"Nutrition, physical activity, and obesity.","type":"article-journal","volume":"360"},"uris":["http://www.mendeley.com/documents/?uuid=ff65b467-209b-4ba7-9e4a-329c489817a9"]}],"mendeley":{"formattedCitation":"&lt;sup&gt;4&lt;/sup&gt;","plainTextFormattedCitation":"4","previouslyFormattedCitation":"&lt;sup&gt;4&lt;/sup&gt;"},"properties":{"noteIndex":0},"schema":"https://github.com/citation-style-language/schema/raw/master/csl-citation.json"}</w:instrText>
      </w:r>
      <w:r w:rsidR="00117B71">
        <w:rPr>
          <w:rFonts w:ascii="Times New Roman" w:hAnsi="Times New Roman" w:cs="Times New Roman"/>
        </w:rPr>
        <w:fldChar w:fldCharType="separate"/>
      </w:r>
      <w:r w:rsidR="005E45A9" w:rsidRPr="005E45A9">
        <w:rPr>
          <w:rFonts w:ascii="Times New Roman" w:hAnsi="Times New Roman" w:cs="Times New Roman"/>
          <w:noProof/>
          <w:vertAlign w:val="superscript"/>
        </w:rPr>
        <w:t>4</w:t>
      </w:r>
      <w:r w:rsidR="00117B71">
        <w:rPr>
          <w:rFonts w:ascii="Times New Roman" w:hAnsi="Times New Roman" w:cs="Times New Roman"/>
        </w:rPr>
        <w:fldChar w:fldCharType="end"/>
      </w:r>
      <w:r w:rsidR="00117B71">
        <w:rPr>
          <w:rFonts w:ascii="Times New Roman" w:hAnsi="Times New Roman" w:cs="Times New Roman"/>
        </w:rPr>
        <w:t>.</w:t>
      </w:r>
    </w:p>
    <w:p w14:paraId="00D92908" w14:textId="2217EA92" w:rsidR="00155002" w:rsidRDefault="00CE1F12" w:rsidP="006B2A57">
      <w:pPr>
        <w:pStyle w:val="Ttulo2"/>
        <w:numPr>
          <w:ilvl w:val="1"/>
          <w:numId w:val="1"/>
        </w:numPr>
        <w:spacing w:line="360" w:lineRule="auto"/>
        <w:ind w:left="709" w:hanging="482"/>
      </w:pPr>
      <w:bookmarkStart w:id="8" w:name="_Toc9418022"/>
      <w:r>
        <w:t>Causes of obesity</w:t>
      </w:r>
      <w:bookmarkEnd w:id="8"/>
      <w:r w:rsidR="00155002">
        <w:t xml:space="preserve"> </w:t>
      </w:r>
    </w:p>
    <w:p w14:paraId="1AC9DD47" w14:textId="317D3671" w:rsidR="000E1D90" w:rsidRDefault="000E1D90" w:rsidP="006B2A57">
      <w:pPr>
        <w:pStyle w:val="Ttulo3"/>
        <w:numPr>
          <w:ilvl w:val="2"/>
          <w:numId w:val="1"/>
        </w:numPr>
        <w:spacing w:line="360" w:lineRule="auto"/>
        <w:ind w:left="1077"/>
      </w:pPr>
      <w:bookmarkStart w:id="9" w:name="_Toc9418023"/>
      <w:r>
        <w:t xml:space="preserve">Body </w:t>
      </w:r>
      <w:r w:rsidR="00224286">
        <w:t>weight control</w:t>
      </w:r>
      <w:bookmarkEnd w:id="9"/>
      <w:r w:rsidR="00224286">
        <w:t xml:space="preserve"> </w:t>
      </w:r>
    </w:p>
    <w:p w14:paraId="4EDC6D76" w14:textId="5290DF0D" w:rsidR="000E1D90" w:rsidRDefault="00CE1F12" w:rsidP="006B2A57">
      <w:pPr>
        <w:spacing w:after="0" w:line="360" w:lineRule="auto"/>
        <w:ind w:left="360"/>
        <w:jc w:val="both"/>
        <w:rPr>
          <w:rFonts w:ascii="Times New Roman" w:hAnsi="Times New Roman" w:cs="Times New Roman"/>
        </w:rPr>
      </w:pPr>
      <w:r>
        <w:rPr>
          <w:rFonts w:ascii="Times New Roman" w:hAnsi="Times New Roman" w:cs="Times New Roman"/>
        </w:rPr>
        <w:t>The humans are able to regulate their body weight over long periods of time despite day-to-day variation in the number of calories consumed and in levels of energy expenditure</w:t>
      </w:r>
      <w:r w:rsidR="002F1A3C">
        <w:rPr>
          <w:rFonts w:ascii="Times New Roman" w:hAnsi="Times New Roman" w:cs="Times New Roman"/>
        </w:rPr>
        <w:fldChar w:fldCharType="begin" w:fldLock="1"/>
      </w:r>
      <w:r w:rsidR="002F1A3C">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2F1A3C">
        <w:rPr>
          <w:rFonts w:ascii="Times New Roman" w:hAnsi="Times New Roman" w:cs="Times New Roman"/>
        </w:rPr>
        <w:fldChar w:fldCharType="separate"/>
      </w:r>
      <w:r w:rsidR="002F1A3C" w:rsidRPr="002F1A3C">
        <w:rPr>
          <w:rFonts w:ascii="Times New Roman" w:hAnsi="Times New Roman" w:cs="Times New Roman"/>
          <w:noProof/>
          <w:vertAlign w:val="superscript"/>
        </w:rPr>
        <w:t>1</w:t>
      </w:r>
      <w:r w:rsidR="002F1A3C">
        <w:rPr>
          <w:rFonts w:ascii="Times New Roman" w:hAnsi="Times New Roman" w:cs="Times New Roman"/>
        </w:rPr>
        <w:fldChar w:fldCharType="end"/>
      </w:r>
      <w:r>
        <w:rPr>
          <w:rFonts w:ascii="Times New Roman" w:hAnsi="Times New Roman" w:cs="Times New Roman"/>
        </w:rPr>
        <w:t>. The maintenance of constant body weight and body composition requires two conditions be met. [1]</w:t>
      </w:r>
      <w:r w:rsidR="002F1A3C">
        <w:rPr>
          <w:rFonts w:ascii="Times New Roman" w:hAnsi="Times New Roman" w:cs="Times New Roman"/>
        </w:rPr>
        <w:t xml:space="preserve"> An even </w:t>
      </w:r>
      <w:r w:rsidR="002F1A3C" w:rsidRPr="002F1A3C">
        <w:rPr>
          <w:rFonts w:ascii="Times New Roman" w:hAnsi="Times New Roman" w:cs="Times New Roman"/>
        </w:rPr>
        <w:t>energy balance must be attained, i.e. energy expenditure must on average be equal to energy intake</w:t>
      </w:r>
      <w:r w:rsidR="002F1A3C">
        <w:rPr>
          <w:rFonts w:ascii="Times New Roman" w:hAnsi="Times New Roman" w:cs="Times New Roman"/>
        </w:rPr>
        <w:t>. [2] T</w:t>
      </w:r>
      <w:r w:rsidR="002F1A3C" w:rsidRPr="002F1A3C">
        <w:rPr>
          <w:rFonts w:ascii="Times New Roman" w:hAnsi="Times New Roman" w:cs="Times New Roman"/>
        </w:rPr>
        <w:t>here must be an even balance for each individual substrate, i.e. protein, carbohydrate and fat oxidation must be equal to protein, carbohydrate and fat intakes respectively</w:t>
      </w:r>
      <w:r w:rsidR="002F1A3C">
        <w:rPr>
          <w:rFonts w:ascii="Times New Roman" w:hAnsi="Times New Roman" w:cs="Times New Roman"/>
        </w:rPr>
        <w:t xml:space="preserve"> </w:t>
      </w:r>
      <w:r w:rsidR="002F1A3C" w:rsidRPr="002F1A3C">
        <w:rPr>
          <w:rFonts w:ascii="Times New Roman" w:hAnsi="Times New Roman" w:cs="Times New Roman"/>
        </w:rPr>
        <w:t>If this state were not present, body composition would inevitably change, even during isoenergetic feeding</w:t>
      </w:r>
      <w:r w:rsidR="002F1A3C">
        <w:rPr>
          <w:rFonts w:ascii="Times New Roman" w:hAnsi="Times New Roman" w:cs="Times New Roman"/>
        </w:rPr>
        <w:t xml:space="preserve">. </w:t>
      </w:r>
      <w:r w:rsidR="00651A82">
        <w:rPr>
          <w:rFonts w:ascii="Times New Roman" w:hAnsi="Times New Roman" w:cs="Times New Roman"/>
        </w:rPr>
        <w:t>If energy intake continuously exceeds energy expenditure, the excess energy ingested has to be deposited in</w:t>
      </w:r>
      <w:r w:rsidR="000E1D90">
        <w:rPr>
          <w:rFonts w:ascii="Times New Roman" w:hAnsi="Times New Roman" w:cs="Times New Roman"/>
        </w:rPr>
        <w:t xml:space="preserve"> order to increase the nutrients stores. </w:t>
      </w:r>
    </w:p>
    <w:p w14:paraId="0A8EB803" w14:textId="582502FE" w:rsidR="00CE1F12" w:rsidRDefault="000E1D90" w:rsidP="006B2A57">
      <w:pPr>
        <w:spacing w:line="360" w:lineRule="auto"/>
        <w:ind w:left="360"/>
        <w:jc w:val="both"/>
        <w:rPr>
          <w:rFonts w:ascii="Times New Roman" w:hAnsi="Times New Roman" w:cs="Times New Roman"/>
        </w:rPr>
      </w:pPr>
      <w:r w:rsidRPr="000E1D90">
        <w:rPr>
          <w:rFonts w:ascii="Times New Roman" w:hAnsi="Times New Roman" w:cs="Times New Roman"/>
        </w:rPr>
        <w:t>There is clearly a ‘hierarchy’ in substrate oxidation during overfeeding. Any increase in protein intake will rapidly lead to stimulation of protein oxidation, restoring a steady protein balance. The same is true for carbohydrates, the oxidation of which increases over 1–3 d to match any increase in carbohydrate intake</w:t>
      </w:r>
      <w:r>
        <w:rPr>
          <w:rFonts w:ascii="Times New Roman" w:hAnsi="Times New Roman" w:cs="Times New Roman"/>
        </w:rPr>
        <w:t xml:space="preserve">. </w:t>
      </w:r>
      <w:r w:rsidRPr="000E1D90">
        <w:rPr>
          <w:rFonts w:ascii="Times New Roman" w:hAnsi="Times New Roman" w:cs="Times New Roman"/>
        </w:rPr>
        <w:t xml:space="preserve">The result of this hierarchy is that excess energy intake leads essentially to fat storage, mainly in subcutaneous and visceral adipose tissue. In contrast, a period of </w:t>
      </w:r>
      <w:proofErr w:type="spellStart"/>
      <w:r w:rsidRPr="000E1D90">
        <w:rPr>
          <w:rFonts w:ascii="Times New Roman" w:hAnsi="Times New Roman" w:cs="Times New Roman"/>
        </w:rPr>
        <w:t>hypoenergetic</w:t>
      </w:r>
      <w:proofErr w:type="spellEnd"/>
      <w:r w:rsidRPr="000E1D90">
        <w:rPr>
          <w:rFonts w:ascii="Times New Roman" w:hAnsi="Times New Roman" w:cs="Times New Roman"/>
        </w:rPr>
        <w:t xml:space="preserve"> feeding will lead to a negative fat balance and a loss of adipose tissue</w:t>
      </w:r>
      <w:r>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Obesity","type":"article-journal","volume":"161"},"uris":["http://www.mendeley.com/documents/?uuid=4321a363-ceda-466a-87f8-964f629072a2"]},{"id":"ITEM-2","itemData":{"DOI":"10.1079/pns2003280","ISSN":"0029-6651","abstract":"Regular physical exercise and endurance training are associated with low body weight and low body fat mass. The relationship between exercise and body-weight control is complex and incompletely understood. Regular exercise may decrease energy balance through an increase in energy expenditure or an increase in fat oxidation. It may also contribute to weight loss by modulating nutrient intake. An intriguing question that remains unresolved is whether changes in nutrient intake or body composition secondarily affect spontaneous physical activity. If this were the case, physical activity would represent a major adaptative mechanism for body-weight control.","author":[{"dropping-particle":"","family":"Tappy","given":"L.","non-dropping-particle":"","parse-names":false,"suffix":""},{"dropping-particle":"","family":"Binnert","given":"C.","non-dropping-particle":"","parse-names":false,"suffix":""},{"dropping-particle":"","family":"Schneiter","given":"Ph.","non-dropping-particle":"","parse-names":false,"suffix":""}],"container-title":"Proceedings of the Nutrition Society","id":"ITEM-2","issue":"03","issued":{"date-parts":[["2004"]]},"page":"663-666","title":"Energy expenditure, physical activity and body-weight control","type":"article-journal","volume":"62"},"uris":["http://www.mendeley.com/documents/?uuid=26072bf7-2e7c-4fc7-9fc6-95c2bb8ebf4a"]}],"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rPr>
        <w:fldChar w:fldCharType="separate"/>
      </w:r>
      <w:r w:rsidR="005E45A9" w:rsidRPr="005E45A9">
        <w:rPr>
          <w:rFonts w:ascii="Times New Roman" w:hAnsi="Times New Roman" w:cs="Times New Roman"/>
          <w:noProof/>
          <w:vertAlign w:val="superscript"/>
        </w:rPr>
        <w:t>1,5</w:t>
      </w:r>
      <w:r>
        <w:rPr>
          <w:rFonts w:ascii="Times New Roman" w:hAnsi="Times New Roman" w:cs="Times New Roman"/>
        </w:rPr>
        <w:fldChar w:fldCharType="end"/>
      </w:r>
      <w:r>
        <w:rPr>
          <w:rFonts w:ascii="Times New Roman" w:hAnsi="Times New Roman" w:cs="Times New Roman"/>
        </w:rPr>
        <w:t>.</w:t>
      </w:r>
      <w:r w:rsidR="002F1A3C">
        <w:rPr>
          <w:rFonts w:ascii="Times New Roman" w:hAnsi="Times New Roman" w:cs="Times New Roman"/>
        </w:rPr>
        <w:t xml:space="preserve"> </w:t>
      </w:r>
    </w:p>
    <w:p w14:paraId="1EF0A085" w14:textId="6DEDC994" w:rsidR="009304EB" w:rsidRDefault="009304EB" w:rsidP="006B2A57">
      <w:pPr>
        <w:pStyle w:val="Ttulo3"/>
        <w:numPr>
          <w:ilvl w:val="2"/>
          <w:numId w:val="1"/>
        </w:numPr>
        <w:spacing w:line="360" w:lineRule="auto"/>
      </w:pPr>
      <w:r>
        <w:t>Molecular pathway of energy homeostasis</w:t>
      </w:r>
    </w:p>
    <w:p w14:paraId="565B29AD" w14:textId="777B64E9" w:rsidR="009304EB" w:rsidRDefault="009304EB" w:rsidP="006B2A57">
      <w:pPr>
        <w:spacing w:line="360" w:lineRule="auto"/>
        <w:ind w:left="357"/>
        <w:jc w:val="both"/>
        <w:rPr>
          <w:rFonts w:ascii="Times New Roman" w:hAnsi="Times New Roman" w:cs="Times New Roman"/>
        </w:rPr>
      </w:pPr>
      <w:r w:rsidRPr="009304EB">
        <w:rPr>
          <w:rFonts w:ascii="Times New Roman" w:hAnsi="Times New Roman" w:cs="Times New Roman"/>
        </w:rPr>
        <w:t>Pathways that stimulate food intake and promote weight gain are referred to here as anabolic-effector pathways, whereas those that promote anorexia and depletion of body fat are referred to as catabolic-effector pathways. Both pathways also regulate energy expenditure in ways that complement their effects on energy intake and enhance the overall response to a change in body fat content. Activation of anabolic pathways, for example, increases food intake and decreases energy expenditure, whereas the reverse is true for catabolic pathways</w:t>
      </w:r>
      <w:r>
        <w:rPr>
          <w:rFonts w:ascii="Times New Roman" w:hAnsi="Times New Roman" w:cs="Times New Roman"/>
        </w:rPr>
        <w:t xml:space="preserve">. </w:t>
      </w:r>
      <w:r w:rsidRPr="009304EB">
        <w:rPr>
          <w:rFonts w:ascii="Times New Roman" w:hAnsi="Times New Roman" w:cs="Times New Roman"/>
        </w:rPr>
        <w:t>Anabolic and catabolic pathways are generally regulated in a reciprocal manner, such that increases in the activity of one are often accompanied by decreases in the other</w:t>
      </w:r>
      <w:r>
        <w:rPr>
          <w:rFonts w:ascii="Times New Roman" w:hAnsi="Times New Roman" w:cs="Times New Roman"/>
        </w:rPr>
        <w:t xml:space="preserve">. The anabolic and catabolic pathways </w:t>
      </w:r>
      <w:r w:rsidR="004C566F">
        <w:rPr>
          <w:rFonts w:ascii="Times New Roman" w:hAnsi="Times New Roman" w:cs="Times New Roman"/>
        </w:rPr>
        <w:t xml:space="preserve">sense changes in energy balance due to the hormones leptin and insulin that circulate on blood proportionate to body fat mass and enter into the brain, where they bind to an and activate their respective receptors on the plasma membrane of targets neurons. </w:t>
      </w:r>
      <w:r w:rsidR="004C566F" w:rsidRPr="004C566F">
        <w:rPr>
          <w:rFonts w:ascii="Times New Roman" w:hAnsi="Times New Roman" w:cs="Times New Roman"/>
        </w:rPr>
        <w:t>Low concentrations of leptin and insulin increase energy intake and reduce energy expenditure. Hence, the reciprocal nature of the neuronal response to an energy deficit (activation of anabolic pathways and inhibition of catabolic pathways) may be accounted for, at least in part, by reduced levels of these two hormones</w:t>
      </w:r>
      <w:r w:rsidR="0029249F">
        <w:rPr>
          <w:rFonts w:ascii="Times New Roman" w:hAnsi="Times New Roman" w:cs="Times New Roman"/>
        </w:rPr>
        <w:t xml:space="preserve"> (Figure 1).</w:t>
      </w:r>
    </w:p>
    <w:p w14:paraId="53DB46CA" w14:textId="73BAF859" w:rsidR="0029249F" w:rsidRDefault="0029249F" w:rsidP="006B2A57">
      <w:pPr>
        <w:spacing w:line="360" w:lineRule="auto"/>
        <w:ind w:left="357"/>
        <w:jc w:val="center"/>
        <w:rPr>
          <w:rFonts w:ascii="Times New Roman" w:hAnsi="Times New Roman" w:cs="Times New Roman"/>
        </w:rPr>
      </w:pPr>
      <w:r>
        <w:rPr>
          <w:noProof/>
        </w:rPr>
        <w:drawing>
          <wp:inline distT="0" distB="0" distL="0" distR="0" wp14:anchorId="66D66491" wp14:editId="0084DE66">
            <wp:extent cx="3713353" cy="24307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63" t="28846" r="41440" b="21238"/>
                    <a:stretch/>
                  </pic:blipFill>
                  <pic:spPr bwMode="auto">
                    <a:xfrm>
                      <a:off x="0" y="0"/>
                      <a:ext cx="3733331" cy="2443858"/>
                    </a:xfrm>
                    <a:prstGeom prst="rect">
                      <a:avLst/>
                    </a:prstGeom>
                    <a:ln>
                      <a:noFill/>
                    </a:ln>
                    <a:extLst>
                      <a:ext uri="{53640926-AAD7-44D8-BBD7-CCE9431645EC}">
                        <a14:shadowObscured xmlns:a14="http://schemas.microsoft.com/office/drawing/2010/main"/>
                      </a:ext>
                    </a:extLst>
                  </pic:spPr>
                </pic:pic>
              </a:graphicData>
            </a:graphic>
          </wp:inline>
        </w:drawing>
      </w:r>
    </w:p>
    <w:p w14:paraId="5470D288" w14:textId="37BB8787" w:rsidR="0029249F" w:rsidRPr="007371B1" w:rsidRDefault="0029249F" w:rsidP="006B2A57">
      <w:pPr>
        <w:spacing w:line="360" w:lineRule="auto"/>
        <w:ind w:left="357"/>
        <w:jc w:val="both"/>
        <w:rPr>
          <w:rFonts w:ascii="Times New Roman" w:hAnsi="Times New Roman" w:cs="Times New Roman"/>
          <w:sz w:val="21"/>
          <w:szCs w:val="21"/>
        </w:rPr>
      </w:pPr>
      <w:r>
        <w:rPr>
          <w:rFonts w:ascii="Times New Roman" w:hAnsi="Times New Roman" w:cs="Times New Roman"/>
          <w:b/>
          <w:sz w:val="21"/>
          <w:szCs w:val="21"/>
        </w:rPr>
        <w:t xml:space="preserve">Figure 1: energy balance pathway. </w:t>
      </w:r>
      <w:r w:rsidR="007371B1">
        <w:rPr>
          <w:rFonts w:ascii="Times New Roman" w:hAnsi="Times New Roman" w:cs="Times New Roman"/>
          <w:sz w:val="21"/>
          <w:szCs w:val="21"/>
        </w:rPr>
        <w:t xml:space="preserve">This model controls the body fat mass storage. When the food intake increase, the excess of energy is stored at adipocytes. Once the adipocytes have stored energy in form of fat, they produce leptin that activate central nervous system pathways that stimulate the decrease of energy intake (satiety signals) </w:t>
      </w:r>
      <w:proofErr w:type="gramStart"/>
      <w:r w:rsidR="007371B1">
        <w:rPr>
          <w:rFonts w:ascii="Times New Roman" w:hAnsi="Times New Roman" w:cs="Times New Roman"/>
          <w:sz w:val="21"/>
          <w:szCs w:val="21"/>
        </w:rPr>
        <w:t>and  the</w:t>
      </w:r>
      <w:proofErr w:type="gramEnd"/>
      <w:r w:rsidR="007371B1">
        <w:rPr>
          <w:rFonts w:ascii="Times New Roman" w:hAnsi="Times New Roman" w:cs="Times New Roman"/>
          <w:sz w:val="21"/>
          <w:szCs w:val="21"/>
        </w:rPr>
        <w:t xml:space="preserve"> increase in energy expenditure.   </w:t>
      </w:r>
    </w:p>
    <w:p w14:paraId="6B2E9DDD" w14:textId="74BFED50" w:rsidR="006736FC" w:rsidRPr="006736FC" w:rsidRDefault="00224286" w:rsidP="006B2A57">
      <w:pPr>
        <w:pStyle w:val="Ttulo3"/>
        <w:numPr>
          <w:ilvl w:val="2"/>
          <w:numId w:val="1"/>
        </w:numPr>
        <w:spacing w:line="360" w:lineRule="auto"/>
        <w:ind w:left="1077"/>
      </w:pPr>
      <w:bookmarkStart w:id="10" w:name="_Toc9418024"/>
      <w:r>
        <w:t>Disorder of energy homeostasis</w:t>
      </w:r>
      <w:bookmarkEnd w:id="10"/>
    </w:p>
    <w:p w14:paraId="4E1A2BCB" w14:textId="2E641C30" w:rsidR="00B26211" w:rsidRDefault="00224286" w:rsidP="006B2A57">
      <w:pPr>
        <w:spacing w:after="0" w:line="360" w:lineRule="auto"/>
        <w:ind w:left="360"/>
        <w:jc w:val="both"/>
        <w:rPr>
          <w:rFonts w:ascii="Times New Roman" w:hAnsi="Times New Roman" w:cs="Times New Roman"/>
        </w:rPr>
      </w:pPr>
      <w:r>
        <w:rPr>
          <w:rFonts w:ascii="Times New Roman" w:hAnsi="Times New Roman" w:cs="Times New Roman"/>
        </w:rPr>
        <w:t xml:space="preserve">Disorders of energy homeostasis are fundamentally due to factors that disrupt the balance between energy intake and expenditure over time, </w:t>
      </w:r>
      <w:r w:rsidRPr="00224286">
        <w:rPr>
          <w:rFonts w:ascii="Times New Roman" w:hAnsi="Times New Roman" w:cs="Times New Roman"/>
        </w:rPr>
        <w:t>the utilization of substrates (fat, protein, carbohydrate), and/or nutrient partitioning (storage of excess calories)</w:t>
      </w:r>
      <w:r w:rsidR="00156390">
        <w:rPr>
          <w:rFonts w:ascii="Times New Roman" w:hAnsi="Times New Roman" w:cs="Times New Roman"/>
        </w:rPr>
        <w:t>.</w:t>
      </w:r>
      <w:r w:rsidR="006736FC">
        <w:rPr>
          <w:rFonts w:ascii="Times New Roman" w:hAnsi="Times New Roman" w:cs="Times New Roman"/>
        </w:rPr>
        <w:t xml:space="preserve"> The environmental influences of weight gain such as the</w:t>
      </w:r>
      <w:r w:rsidR="00156390">
        <w:rPr>
          <w:rFonts w:ascii="Times New Roman" w:hAnsi="Times New Roman" w:cs="Times New Roman"/>
        </w:rPr>
        <w:t xml:space="preserve"> adoption of sedentary lifestyles due to reduced physical activity at work and in leisure time coupled with an abundance of </w:t>
      </w:r>
      <w:r w:rsidR="006736FC">
        <w:rPr>
          <w:rFonts w:ascii="Times New Roman" w:hAnsi="Times New Roman" w:cs="Times New Roman"/>
        </w:rPr>
        <w:t>easily</w:t>
      </w:r>
      <w:r w:rsidR="00156390">
        <w:rPr>
          <w:rFonts w:ascii="Times New Roman" w:hAnsi="Times New Roman" w:cs="Times New Roman"/>
        </w:rPr>
        <w:t xml:space="preserve"> </w:t>
      </w:r>
      <w:r w:rsidR="006736FC">
        <w:rPr>
          <w:rFonts w:ascii="Times New Roman" w:hAnsi="Times New Roman" w:cs="Times New Roman"/>
        </w:rPr>
        <w:t>available, energy-rich, highly palatable foods represents a nutrition transition that, according with the WHO, is now one of the greatest factors to ill health worldwide</w:t>
      </w:r>
      <w:r w:rsidR="00B26211">
        <w:rPr>
          <w:rFonts w:ascii="Times New Roman" w:hAnsi="Times New Roman" w:cs="Times New Roman"/>
        </w:rPr>
        <w:fldChar w:fldCharType="begin" w:fldLock="1"/>
      </w:r>
      <w:r w:rsidR="00581FB0">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B26211">
        <w:rPr>
          <w:rFonts w:ascii="Times New Roman" w:hAnsi="Times New Roman" w:cs="Times New Roman"/>
        </w:rPr>
        <w:fldChar w:fldCharType="separate"/>
      </w:r>
      <w:r w:rsidR="00B26211" w:rsidRPr="00156390">
        <w:rPr>
          <w:rFonts w:ascii="Times New Roman" w:hAnsi="Times New Roman" w:cs="Times New Roman"/>
          <w:noProof/>
          <w:vertAlign w:val="superscript"/>
        </w:rPr>
        <w:t>1</w:t>
      </w:r>
      <w:r w:rsidR="00B26211">
        <w:rPr>
          <w:rFonts w:ascii="Times New Roman" w:hAnsi="Times New Roman" w:cs="Times New Roman"/>
        </w:rPr>
        <w:fldChar w:fldCharType="end"/>
      </w:r>
      <w:r w:rsidR="00B26211">
        <w:rPr>
          <w:rFonts w:ascii="Times New Roman" w:hAnsi="Times New Roman" w:cs="Times New Roman"/>
        </w:rPr>
        <w:t>.</w:t>
      </w:r>
    </w:p>
    <w:p w14:paraId="73ADAF3A" w14:textId="261773E0" w:rsidR="00224286" w:rsidRPr="00224286" w:rsidRDefault="00B26211" w:rsidP="006B2A57">
      <w:pPr>
        <w:spacing w:line="360" w:lineRule="auto"/>
        <w:ind w:left="360"/>
        <w:jc w:val="both"/>
        <w:rPr>
          <w:rFonts w:ascii="Times New Roman" w:hAnsi="Times New Roman" w:cs="Times New Roman"/>
        </w:rPr>
      </w:pPr>
      <w:r>
        <w:rPr>
          <w:rFonts w:ascii="Times New Roman" w:hAnsi="Times New Roman" w:cs="Times New Roman"/>
        </w:rPr>
        <w:t>Other factor that disrupt the energy homeostasis is the genetic. In any environment, either energy rich or energy lacking, there are considerable distribution of different body weight among people. This evidence says that not only environmental factors cause obesity but also genetics factors</w:t>
      </w:r>
      <w:r w:rsidR="00581FB0">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resequencing","type":"article-journal","volume":"96"},"uris":["http://www.mendeley.com/documents/?uuid=947afb0d-ffe1-4b30-a48f-9dd2d8bb9f85"]},{"id":"ITEM-4","itemData":{"DOI":"10.1371/journal.pgen.1006657","ISBN":"1111111111","ISSN":"15537404","abstract":"©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Genetics","id":"ITEM-4","issue":"5","issued":{"date-parts":[["2017"]]},"page":"1-19","title":"Novel genes involved in severe early-onset obesity revealed by rare copy number and sequence variants","type":"article-journal","volume":"13"},"uris":["http://www.mendeley.com/documents/?uuid=a59f1d2c-24e9-4e93-9383-d19a9aa20180"]},{"id":"ITEM-5","itemData":{"DOI":"10.1038/nrendo.2017.157","ISSN":"1759-5029","abstract":"A recent study reports that the global prevalence of paediatric obesity increased to &gt;5% between 1975 and 2016. This increase occurred even as the prevalence of paediatric underweight decreased slightly but remained &gt;8%. These average prevalence changes blur the remarkable regional variations in how prevalence has changed. There is a pressing need to address both underweight and obesity worldwide.","author":[{"dropping-particle":"","family":"Yanovski","given":"Jack A.","non-dropping-particle":"","parse-names":false,"suffix":""}],"container-title":"Nature Reviews Endocrinology","id":"ITEM-5","issue":"1","issued":{"date-parts":[["2017"]]},"page":"5-6","publisher":"Nature Publishing Group","title":"Obesity: Trends in underweight and obesity — scale of the problem","type":"article-journal","volume":"14"},"uris":["http://www.mendeley.com/documents/?uuid=c4fd9078-0c70-4055-8412-65ffd556be09"]}],"mendeley":{"formattedCitation":"&lt;sup&gt;1,2,6–8&lt;/sup&gt;","plainTextFormattedCitation":"1,2,6–8","previouslyFormattedCitation":"&lt;sup&gt;1,2,6–8&lt;/sup&gt;"},"properties":{"noteIndex":0},"schema":"https://github.com/citation-style-language/schema/raw/master/csl-citation.json"}</w:instrText>
      </w:r>
      <w:r w:rsidR="00581FB0">
        <w:rPr>
          <w:rFonts w:ascii="Times New Roman" w:hAnsi="Times New Roman" w:cs="Times New Roman"/>
        </w:rPr>
        <w:fldChar w:fldCharType="separate"/>
      </w:r>
      <w:r w:rsidR="005E45A9" w:rsidRPr="005E45A9">
        <w:rPr>
          <w:rFonts w:ascii="Times New Roman" w:hAnsi="Times New Roman" w:cs="Times New Roman"/>
          <w:noProof/>
          <w:vertAlign w:val="superscript"/>
        </w:rPr>
        <w:t>1,2,6–8</w:t>
      </w:r>
      <w:r w:rsidR="00581FB0">
        <w:rPr>
          <w:rFonts w:ascii="Times New Roman" w:hAnsi="Times New Roman" w:cs="Times New Roman"/>
        </w:rPr>
        <w:fldChar w:fldCharType="end"/>
      </w:r>
      <w:r>
        <w:rPr>
          <w:rFonts w:ascii="Times New Roman" w:hAnsi="Times New Roman" w:cs="Times New Roman"/>
        </w:rPr>
        <w:t xml:space="preserve">. </w:t>
      </w:r>
    </w:p>
    <w:p w14:paraId="39709EB2" w14:textId="47DEF5CE" w:rsidR="00BA45B1" w:rsidRDefault="00BA45B1" w:rsidP="006B2A57">
      <w:pPr>
        <w:pStyle w:val="Ttulo2"/>
        <w:numPr>
          <w:ilvl w:val="1"/>
          <w:numId w:val="1"/>
        </w:numPr>
        <w:spacing w:after="240" w:line="360" w:lineRule="auto"/>
        <w:ind w:left="709" w:hanging="482"/>
        <w:rPr>
          <w:rFonts w:cs="Times New Roman"/>
        </w:rPr>
      </w:pPr>
      <w:bookmarkStart w:id="11" w:name="_Toc9418025"/>
      <w:r w:rsidRPr="004C3EAF">
        <w:rPr>
          <w:rFonts w:cs="Times New Roman"/>
        </w:rPr>
        <w:t>Importance of genetics in obesity</w:t>
      </w:r>
      <w:bookmarkEnd w:id="11"/>
    </w:p>
    <w:p w14:paraId="4F88A9A4" w14:textId="4603136C" w:rsidR="00E1041C" w:rsidRPr="005E45A9" w:rsidRDefault="005E45A9" w:rsidP="006B2A57">
      <w:pPr>
        <w:spacing w:line="360" w:lineRule="auto"/>
        <w:ind w:left="227"/>
        <w:jc w:val="both"/>
        <w:rPr>
          <w:rFonts w:ascii="Times New Roman" w:hAnsi="Times New Roman" w:cs="Times New Roman"/>
        </w:rPr>
      </w:pPr>
      <w:r w:rsidRPr="005E45A9">
        <w:rPr>
          <w:rFonts w:ascii="Times New Roman" w:hAnsi="Times New Roman" w:cs="Times New Roman"/>
        </w:rPr>
        <w:t>The genetic contribution to body weight has been established through family studies, investigations of parent-offspring relationships, and the study of twins and adopted children</w:t>
      </w:r>
      <w:r>
        <w:rPr>
          <w:rFonts w:ascii="Times New Roman" w:hAnsi="Times New Roman" w:cs="Times New Roman"/>
        </w:rPr>
        <w:fldChar w:fldCharType="begin" w:fldLock="1"/>
      </w:r>
      <w:r w:rsidR="000B1802">
        <w:rPr>
          <w:rFonts w:ascii="Times New Roman" w:hAnsi="Times New Roman" w:cs="Times New Roman"/>
        </w:rPr>
        <w:instrText>ADDIN CSL_CITATION {"citationItems":[{"id":"ITEM-1","itemData":{"DOI":"10.1056/NEJM199005243222102","author":[{"dropping-particle":"","family":"Stunkard","given":"Albert J","non-dropping-particle":"","parse-names":false,"suffix":""},{"dropping-particle":"","family":"Harris","given":"Jennifer R","non-dropping-particle":"","parse-names":false,"suffix":""},{"dropping-particle":"","family":"Pedersen","given":"Nancy L","non-dropping-particle":"","parse-names":false,"suffix":""},{"dropping-particle":"","family":"McClearn","given":"Gerald E","non-dropping-particle":"","parse-names":false,"suffix":""}],"container-title":"New England Journal of Medicine","id":"ITEM-1","issue":"21","issued":{"date-parts":[["1990"]]},"note":"PMID: 2336075","page":"1483-1487","title":"The Body-Mass Index of Twins Who Have Been Reared Apart","type":"article-journal","volume":"322"},"uris":["http://www.mendeley.com/documents/?uuid=99d3a1ff-ad73-4c31-b41d-88ea426dd645"]},{"id":"ITEM-2","itemData":{"author":[{"dropping-particle":"","family":"Maes","given":"Hermine H M","non-dropping-particle":"","parse-names":false,"suffix":""},{"dropping-particle":"","family":"Neale","given":"Michael C","non-dropping-particle":"","parse-names":false,"suffix":""},{"dropping-particle":"","family":"Eaves","given":"Lindon J","non-dropping-particle":"","parse-names":false,"suffix":""}],"container-title":"Behavior Genetics","id":"ITEM-2","issue":"4","issued":{"date-parts":[["1997"]]},"title":"Genetic and Environmental Factors in Relative Body Weight and Human Adiposity","type":"article-journal","volume":"27"},"uris":["http://www.mendeley.com/documents/?uuid=baee1415-645b-4178-bad3-4e4aa78362bb"]}],"mendeley":{"formattedCitation":"&lt;sup&gt;9,10&lt;/sup&gt;","plainTextFormattedCitation":"9,10","previouslyFormattedCitation":"&lt;sup&gt;9,10&lt;/sup&gt;"},"properties":{"noteIndex":0},"schema":"https://github.com/citation-style-language/schema/raw/master/csl-citation.json"}</w:instrText>
      </w:r>
      <w:r>
        <w:rPr>
          <w:rFonts w:ascii="Times New Roman" w:hAnsi="Times New Roman" w:cs="Times New Roman"/>
        </w:rPr>
        <w:fldChar w:fldCharType="separate"/>
      </w:r>
      <w:r w:rsidRPr="005E45A9">
        <w:rPr>
          <w:rFonts w:ascii="Times New Roman" w:hAnsi="Times New Roman" w:cs="Times New Roman"/>
          <w:noProof/>
          <w:vertAlign w:val="superscript"/>
        </w:rPr>
        <w:t>9,10</w:t>
      </w:r>
      <w:r>
        <w:rPr>
          <w:rFonts w:ascii="Times New Roman" w:hAnsi="Times New Roman" w:cs="Times New Roman"/>
        </w:rPr>
        <w:fldChar w:fldCharType="end"/>
      </w:r>
      <w:r>
        <w:rPr>
          <w:rFonts w:ascii="Times New Roman" w:hAnsi="Times New Roman" w:cs="Times New Roman"/>
        </w:rPr>
        <w:t xml:space="preserve">. </w:t>
      </w:r>
      <w:r w:rsidR="00B23CD3">
        <w:rPr>
          <w:rFonts w:ascii="Times New Roman" w:hAnsi="Times New Roman" w:cs="Times New Roman"/>
        </w:rPr>
        <w:t>These studies estimate a heritability (</w:t>
      </w:r>
      <w:r w:rsidR="00B23CD3" w:rsidRPr="00B23CD3">
        <w:rPr>
          <w:rFonts w:ascii="Times New Roman" w:hAnsi="Times New Roman" w:cs="Times New Roman"/>
        </w:rPr>
        <w:t>Fraction of the total phenotypic variance of a quantitative trait attributable</w:t>
      </w:r>
      <w:r w:rsidR="00B23CD3">
        <w:rPr>
          <w:rFonts w:ascii="Times New Roman" w:hAnsi="Times New Roman" w:cs="Times New Roman"/>
        </w:rPr>
        <w:t xml:space="preserve"> </w:t>
      </w:r>
      <w:r w:rsidR="00B23CD3" w:rsidRPr="00B23CD3">
        <w:rPr>
          <w:rFonts w:ascii="Times New Roman" w:hAnsi="Times New Roman" w:cs="Times New Roman"/>
        </w:rPr>
        <w:t>to genes in a specified environment)</w:t>
      </w:r>
      <w:r w:rsidR="00B23CD3">
        <w:rPr>
          <w:rFonts w:ascii="Times New Roman" w:hAnsi="Times New Roman" w:cs="Times New Roman"/>
        </w:rPr>
        <w:t xml:space="preserve"> of 40-70%. </w:t>
      </w:r>
      <w:r w:rsidR="00BF4DF3">
        <w:rPr>
          <w:rFonts w:ascii="Times New Roman" w:hAnsi="Times New Roman" w:cs="Times New Roman"/>
        </w:rPr>
        <w:t>This genetics predisposition has been widely recognized in the human evolutionary history. Obesity stem from natural selection on our ancient ancestors favouring “thrifty genes”, defined as conferring a phenotype of being extremely efficient keeping all extra energy during periods of food abundance in order to deal with large famine periods. In modern society, however, with plen</w:t>
      </w:r>
      <w:r w:rsidR="000B1802">
        <w:rPr>
          <w:rFonts w:ascii="Times New Roman" w:hAnsi="Times New Roman" w:cs="Times New Roman"/>
        </w:rPr>
        <w:t>ti</w:t>
      </w:r>
      <w:r w:rsidR="00BF4DF3">
        <w:rPr>
          <w:rFonts w:ascii="Times New Roman" w:hAnsi="Times New Roman" w:cs="Times New Roman"/>
        </w:rPr>
        <w:t xml:space="preserve">ful and continuous food, this thrifty phenotype process deleterious because it promotes efficient </w:t>
      </w:r>
      <w:r w:rsidR="000B1802">
        <w:rPr>
          <w:rFonts w:ascii="Times New Roman" w:hAnsi="Times New Roman" w:cs="Times New Roman"/>
        </w:rPr>
        <w:t>storage of fat for a famine period that never comes</w:t>
      </w:r>
      <w:r w:rsidR="000B1802">
        <w:rPr>
          <w:rFonts w:ascii="Times New Roman" w:hAnsi="Times New Roman" w:cs="Times New Roman"/>
        </w:rPr>
        <w:fldChar w:fldCharType="begin" w:fldLock="1"/>
      </w:r>
      <w:r w:rsidR="000B1802">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Obesity","type":"article-journal","volume":"161"},"uris":["http://www.mendeley.com/documents/?uuid=4321a363-ceda-466a-87f8-964f629072a2"]},{"id":"ITEM-2","itemData":{"DOI":"10.1016/j.cmet.2007.06.004","author":[{"dropping-particle":"","family":"Speakman","given":"John R","non-dropping-particle":"","parse-names":false,"suffix":""}],"id":"ITEM-2","issue":"July","issued":{"date-parts":[["2007"]]},"page":"5-12","title":"Commentary A Nonadaptive Scenario Explaining the Genetic Predisposition to Obesity : The ‘‘ Predation Release ’’ Hypothesis","type":"article-journal"},"uris":["http://www.mendeley.com/documents/?uuid=94f23ae6-aa2c-455b-b3b6-d4a219f4248f"]}],"mendeley":{"formattedCitation":"&lt;sup&gt;1,11&lt;/sup&gt;","plainTextFormattedCitation":"1,11"},"properties":{"noteIndex":0},"schema":"https://github.com/citation-style-language/schema/raw/master/csl-citation.json"}</w:instrText>
      </w:r>
      <w:r w:rsidR="000B1802">
        <w:rPr>
          <w:rFonts w:ascii="Times New Roman" w:hAnsi="Times New Roman" w:cs="Times New Roman"/>
        </w:rPr>
        <w:fldChar w:fldCharType="separate"/>
      </w:r>
      <w:r w:rsidR="000B1802" w:rsidRPr="000B1802">
        <w:rPr>
          <w:rFonts w:ascii="Times New Roman" w:hAnsi="Times New Roman" w:cs="Times New Roman"/>
          <w:noProof/>
          <w:vertAlign w:val="superscript"/>
        </w:rPr>
        <w:t>1,11</w:t>
      </w:r>
      <w:r w:rsidR="000B1802">
        <w:rPr>
          <w:rFonts w:ascii="Times New Roman" w:hAnsi="Times New Roman" w:cs="Times New Roman"/>
        </w:rPr>
        <w:fldChar w:fldCharType="end"/>
      </w:r>
      <w:r w:rsidR="000B1802">
        <w:rPr>
          <w:rFonts w:ascii="Times New Roman" w:hAnsi="Times New Roman" w:cs="Times New Roman"/>
        </w:rPr>
        <w:t xml:space="preserve">. </w:t>
      </w:r>
      <w:r w:rsidR="00BF4DF3">
        <w:rPr>
          <w:rFonts w:ascii="Times New Roman" w:hAnsi="Times New Roman" w:cs="Times New Roman"/>
        </w:rPr>
        <w:t xml:space="preserve"> </w:t>
      </w:r>
    </w:p>
    <w:p w14:paraId="0CE2C8CC" w14:textId="77777777" w:rsidR="00890B81" w:rsidRPr="004C3EAF" w:rsidRDefault="004C5C54" w:rsidP="00890B81">
      <w:pPr>
        <w:pStyle w:val="Ttulo2"/>
        <w:numPr>
          <w:ilvl w:val="1"/>
          <w:numId w:val="1"/>
        </w:numPr>
        <w:ind w:left="709" w:hanging="482"/>
        <w:rPr>
          <w:rFonts w:cs="Times New Roman"/>
        </w:rPr>
      </w:pPr>
      <w:bookmarkStart w:id="12" w:name="_Toc9418026"/>
      <w:r w:rsidRPr="004C3EAF">
        <w:rPr>
          <w:rFonts w:cs="Times New Roman"/>
        </w:rPr>
        <w:t>Obesity susceptibility variants</w:t>
      </w:r>
      <w:bookmarkEnd w:id="12"/>
    </w:p>
    <w:p w14:paraId="7AC6D870" w14:textId="627F68A2" w:rsidR="003678B6" w:rsidRPr="004C3EAF" w:rsidRDefault="003678B6">
      <w:pPr>
        <w:rPr>
          <w:rFonts w:ascii="Times New Roman" w:eastAsiaTheme="majorEastAsia" w:hAnsi="Times New Roman" w:cs="Times New Roman"/>
          <w:color w:val="2F5496" w:themeColor="accent1" w:themeShade="BF"/>
          <w:sz w:val="32"/>
          <w:szCs w:val="32"/>
        </w:rPr>
      </w:pPr>
    </w:p>
    <w:p w14:paraId="08B6769E" w14:textId="77777777" w:rsidR="00890B81" w:rsidRPr="004C3EAF" w:rsidRDefault="00890B81">
      <w:pPr>
        <w:rPr>
          <w:rFonts w:ascii="Times New Roman" w:eastAsiaTheme="majorEastAsia" w:hAnsi="Times New Roman" w:cs="Times New Roman"/>
          <w:color w:val="2F5496" w:themeColor="accent1" w:themeShade="BF"/>
          <w:sz w:val="32"/>
          <w:szCs w:val="32"/>
        </w:rPr>
      </w:pPr>
      <w:bookmarkStart w:id="13" w:name="_GoBack"/>
      <w:bookmarkEnd w:id="13"/>
      <w:r w:rsidRPr="004C3EAF">
        <w:rPr>
          <w:rFonts w:cs="Times New Roman"/>
        </w:rPr>
        <w:br w:type="page"/>
      </w:r>
    </w:p>
    <w:p w14:paraId="7310A976" w14:textId="03199D5C" w:rsidR="00BB29B6" w:rsidRPr="004C3EAF" w:rsidRDefault="00BB29B6" w:rsidP="00BB29B6">
      <w:pPr>
        <w:pStyle w:val="Ttulo1"/>
        <w:numPr>
          <w:ilvl w:val="0"/>
          <w:numId w:val="1"/>
        </w:numPr>
        <w:ind w:left="284"/>
        <w:rPr>
          <w:rFonts w:cs="Times New Roman"/>
        </w:rPr>
      </w:pPr>
      <w:bookmarkStart w:id="14" w:name="_Toc9418027"/>
      <w:r w:rsidRPr="004C3EAF">
        <w:rPr>
          <w:rFonts w:cs="Times New Roman"/>
        </w:rPr>
        <w:lastRenderedPageBreak/>
        <w:t>Objectives</w:t>
      </w:r>
      <w:bookmarkEnd w:id="14"/>
    </w:p>
    <w:p w14:paraId="6141FA11" w14:textId="77777777" w:rsidR="00BB29B6" w:rsidRPr="004C3EAF" w:rsidRDefault="00BB29B6" w:rsidP="00BB29B6">
      <w:pPr>
        <w:autoSpaceDE w:val="0"/>
        <w:autoSpaceDN w:val="0"/>
        <w:adjustRightInd w:val="0"/>
        <w:spacing w:after="0" w:line="240" w:lineRule="auto"/>
        <w:rPr>
          <w:rFonts w:ascii="Times New Roman" w:hAnsi="Times New Roman" w:cs="Times New Roman"/>
          <w:b/>
        </w:rPr>
      </w:pPr>
    </w:p>
    <w:p w14:paraId="218DBC04" w14:textId="77777777" w:rsidR="00890B81" w:rsidRPr="004C3EAF" w:rsidRDefault="003678B6" w:rsidP="003678B6">
      <w:pPr>
        <w:jc w:val="both"/>
        <w:rPr>
          <w:rFonts w:ascii="Times New Roman" w:hAnsi="Times New Roman" w:cs="Times New Roman"/>
          <w:b/>
        </w:rPr>
      </w:pPr>
      <w:proofErr w:type="spellStart"/>
      <w:r w:rsidRPr="004C3EAF">
        <w:rPr>
          <w:rFonts w:ascii="Times New Roman" w:hAnsi="Times New Roman" w:cs="Times New Roman"/>
          <w:b/>
        </w:rPr>
        <w:t>Hemos</w:t>
      </w:r>
      <w:proofErr w:type="spellEnd"/>
      <w:r w:rsidRPr="004C3EAF">
        <w:rPr>
          <w:rFonts w:ascii="Times New Roman" w:hAnsi="Times New Roman" w:cs="Times New Roman"/>
          <w:b/>
        </w:rPr>
        <w:t xml:space="preserve"> </w:t>
      </w:r>
      <w:proofErr w:type="spellStart"/>
      <w:r w:rsidRPr="004C3EAF">
        <w:rPr>
          <w:rFonts w:ascii="Times New Roman" w:hAnsi="Times New Roman" w:cs="Times New Roman"/>
          <w:b/>
        </w:rPr>
        <w:t>intententado</w:t>
      </w:r>
      <w:proofErr w:type="spellEnd"/>
      <w:r w:rsidRPr="004C3EAF">
        <w:rPr>
          <w:rFonts w:ascii="Times New Roman" w:hAnsi="Times New Roman" w:cs="Times New Roman"/>
          <w:b/>
        </w:rPr>
        <w:t xml:space="preserve"> </w:t>
      </w:r>
      <w:proofErr w:type="spellStart"/>
      <w:r w:rsidRPr="004C3EAF">
        <w:rPr>
          <w:rFonts w:ascii="Times New Roman" w:hAnsi="Times New Roman" w:cs="Times New Roman"/>
          <w:b/>
        </w:rPr>
        <w:t>maximizar</w:t>
      </w:r>
      <w:proofErr w:type="spellEnd"/>
      <w:r w:rsidRPr="004C3EAF">
        <w:rPr>
          <w:rFonts w:ascii="Times New Roman" w:hAnsi="Times New Roman" w:cs="Times New Roman"/>
          <w:b/>
        </w:rPr>
        <w:t xml:space="preserve"> el </w:t>
      </w:r>
      <w:proofErr w:type="spellStart"/>
      <w:r w:rsidRPr="004C3EAF">
        <w:rPr>
          <w:rFonts w:ascii="Times New Roman" w:hAnsi="Times New Roman" w:cs="Times New Roman"/>
          <w:b/>
        </w:rPr>
        <w:t>poder</w:t>
      </w:r>
      <w:proofErr w:type="spellEnd"/>
      <w:r w:rsidRPr="004C3EAF">
        <w:rPr>
          <w:rFonts w:ascii="Times New Roman" w:hAnsi="Times New Roman" w:cs="Times New Roman"/>
          <w:b/>
        </w:rPr>
        <w:t xml:space="preserve"> para </w:t>
      </w:r>
      <w:proofErr w:type="spellStart"/>
      <w:r w:rsidRPr="004C3EAF">
        <w:rPr>
          <w:rFonts w:ascii="Times New Roman" w:hAnsi="Times New Roman" w:cs="Times New Roman"/>
          <w:b/>
        </w:rPr>
        <w:t>encontrar</w:t>
      </w:r>
      <w:proofErr w:type="spellEnd"/>
      <w:r w:rsidRPr="004C3EAF">
        <w:rPr>
          <w:rFonts w:ascii="Times New Roman" w:hAnsi="Times New Roman" w:cs="Times New Roman"/>
          <w:b/>
        </w:rPr>
        <w:t xml:space="preserve"> </w:t>
      </w:r>
      <w:proofErr w:type="spellStart"/>
      <w:r w:rsidRPr="004C3EAF">
        <w:rPr>
          <w:rFonts w:ascii="Times New Roman" w:hAnsi="Times New Roman" w:cs="Times New Roman"/>
          <w:b/>
        </w:rPr>
        <w:t>variantes</w:t>
      </w:r>
      <w:proofErr w:type="spellEnd"/>
      <w:r w:rsidRPr="004C3EAF">
        <w:rPr>
          <w:rFonts w:ascii="Times New Roman" w:hAnsi="Times New Roman" w:cs="Times New Roman"/>
          <w:b/>
        </w:rPr>
        <w:t xml:space="preserve"> al </w:t>
      </w:r>
      <w:proofErr w:type="spellStart"/>
      <w:r w:rsidRPr="004C3EAF">
        <w:rPr>
          <w:rFonts w:ascii="Times New Roman" w:hAnsi="Times New Roman" w:cs="Times New Roman"/>
          <w:b/>
        </w:rPr>
        <w:t>elegir</w:t>
      </w:r>
      <w:proofErr w:type="spellEnd"/>
      <w:r w:rsidRPr="004C3EAF">
        <w:rPr>
          <w:rFonts w:ascii="Times New Roman" w:hAnsi="Times New Roman" w:cs="Times New Roman"/>
          <w:b/>
        </w:rPr>
        <w:t xml:space="preserve"> </w:t>
      </w:r>
      <w:proofErr w:type="spellStart"/>
      <w:r w:rsidRPr="004C3EAF">
        <w:rPr>
          <w:rFonts w:ascii="Times New Roman" w:hAnsi="Times New Roman" w:cs="Times New Roman"/>
          <w:b/>
        </w:rPr>
        <w:t>unos</w:t>
      </w:r>
      <w:proofErr w:type="spellEnd"/>
      <w:r w:rsidRPr="004C3EAF">
        <w:rPr>
          <w:rFonts w:ascii="Times New Roman" w:hAnsi="Times New Roman" w:cs="Times New Roman"/>
          <w:b/>
        </w:rPr>
        <w:t xml:space="preserve"> </w:t>
      </w:r>
      <w:proofErr w:type="spellStart"/>
      <w:r w:rsidRPr="004C3EAF">
        <w:rPr>
          <w:rFonts w:ascii="Times New Roman" w:hAnsi="Times New Roman" w:cs="Times New Roman"/>
          <w:b/>
        </w:rPr>
        <w:t>individuos</w:t>
      </w:r>
      <w:proofErr w:type="spellEnd"/>
      <w:r w:rsidRPr="004C3EAF">
        <w:rPr>
          <w:rFonts w:ascii="Times New Roman" w:hAnsi="Times New Roman" w:cs="Times New Roman"/>
          <w:b/>
        </w:rPr>
        <w:t xml:space="preserve"> con extrema </w:t>
      </w:r>
      <w:proofErr w:type="spellStart"/>
      <w:r w:rsidRPr="004C3EAF">
        <w:rPr>
          <w:rFonts w:ascii="Times New Roman" w:hAnsi="Times New Roman" w:cs="Times New Roman"/>
          <w:b/>
        </w:rPr>
        <w:t>obesidad</w:t>
      </w:r>
      <w:proofErr w:type="spellEnd"/>
      <w:r w:rsidR="00890B81" w:rsidRPr="004C3EAF">
        <w:rPr>
          <w:rFonts w:ascii="Times New Roman" w:hAnsi="Times New Roman" w:cs="Times New Roman"/>
          <w:b/>
        </w:rPr>
        <w:t>.</w:t>
      </w:r>
    </w:p>
    <w:p w14:paraId="636792FF" w14:textId="727C31C1" w:rsidR="003678B6" w:rsidRPr="004C3EAF" w:rsidRDefault="00BB29B6" w:rsidP="003678B6">
      <w:pPr>
        <w:jc w:val="both"/>
        <w:rPr>
          <w:rFonts w:ascii="Times New Roman" w:hAnsi="Times New Roman" w:cs="Times New Roman"/>
          <w:b/>
        </w:rPr>
      </w:pPr>
      <w:r w:rsidRPr="004C3EAF">
        <w:rPr>
          <w:rFonts w:ascii="Times New Roman" w:hAnsi="Times New Roman" w:cs="Times New Roman"/>
          <w:b/>
        </w:rPr>
        <w:br w:type="page"/>
      </w:r>
    </w:p>
    <w:p w14:paraId="190DA6DD" w14:textId="77777777" w:rsidR="003678B6" w:rsidRPr="004C3EAF" w:rsidRDefault="003678B6" w:rsidP="003678B6">
      <w:pPr>
        <w:rPr>
          <w:rFonts w:ascii="Times New Roman" w:hAnsi="Times New Roman" w:cs="Times New Roman"/>
        </w:rPr>
      </w:pPr>
    </w:p>
    <w:p w14:paraId="558410F2" w14:textId="77777777" w:rsidR="00BB29B6" w:rsidRPr="004C3EAF" w:rsidRDefault="006761E7" w:rsidP="00E3485A">
      <w:pPr>
        <w:pStyle w:val="Ttulo1"/>
        <w:numPr>
          <w:ilvl w:val="0"/>
          <w:numId w:val="1"/>
        </w:numPr>
        <w:ind w:left="284"/>
        <w:rPr>
          <w:rFonts w:cs="Times New Roman"/>
        </w:rPr>
      </w:pPr>
      <w:bookmarkStart w:id="15" w:name="_Toc9418028"/>
      <w:r w:rsidRPr="004C3EAF">
        <w:rPr>
          <w:rFonts w:cs="Times New Roman"/>
        </w:rPr>
        <w:t xml:space="preserve">Material and </w:t>
      </w:r>
      <w:r w:rsidR="00BB29B6" w:rsidRPr="004C3EAF">
        <w:rPr>
          <w:rFonts w:cs="Times New Roman"/>
        </w:rPr>
        <w:t>Method</w:t>
      </w:r>
      <w:r w:rsidRPr="004C3EAF">
        <w:rPr>
          <w:rFonts w:cs="Times New Roman"/>
        </w:rPr>
        <w:t>s</w:t>
      </w:r>
      <w:bookmarkEnd w:id="15"/>
    </w:p>
    <w:p w14:paraId="468AF997" w14:textId="77777777" w:rsidR="001804EA" w:rsidRPr="004C3EAF" w:rsidRDefault="001804EA" w:rsidP="001804EA">
      <w:pPr>
        <w:pStyle w:val="Ttulo2"/>
        <w:numPr>
          <w:ilvl w:val="1"/>
          <w:numId w:val="1"/>
        </w:numPr>
        <w:ind w:left="709" w:hanging="482"/>
      </w:pPr>
      <w:bookmarkStart w:id="16" w:name="_Toc9418029"/>
      <w:r w:rsidRPr="004C3EAF">
        <w:t>Data description</w:t>
      </w:r>
      <w:bookmarkEnd w:id="16"/>
    </w:p>
    <w:p w14:paraId="5C96025A" w14:textId="77777777" w:rsidR="00E3485A" w:rsidRPr="004C3EAF" w:rsidRDefault="00E3485A" w:rsidP="006761E7">
      <w:pPr>
        <w:pStyle w:val="Ttulo2"/>
        <w:numPr>
          <w:ilvl w:val="1"/>
          <w:numId w:val="1"/>
        </w:numPr>
        <w:ind w:left="720" w:hanging="493"/>
        <w:rPr>
          <w:rFonts w:cs="Times New Roman"/>
        </w:rPr>
      </w:pPr>
      <w:bookmarkStart w:id="17" w:name="_Toc9418030"/>
      <w:r w:rsidRPr="004C3EAF">
        <w:rPr>
          <w:rFonts w:cs="Times New Roman"/>
        </w:rPr>
        <w:t>S</w:t>
      </w:r>
      <w:r w:rsidR="004C5C54" w:rsidRPr="004C3EAF">
        <w:rPr>
          <w:rFonts w:cs="Times New Roman"/>
        </w:rPr>
        <w:t>NV</w:t>
      </w:r>
      <w:r w:rsidRPr="004C3EAF">
        <w:rPr>
          <w:rFonts w:cs="Times New Roman"/>
        </w:rPr>
        <w:t xml:space="preserve"> detection</w:t>
      </w:r>
      <w:bookmarkEnd w:id="17"/>
    </w:p>
    <w:p w14:paraId="01E51123" w14:textId="77777777" w:rsidR="004C5C54" w:rsidRPr="004C3EAF" w:rsidRDefault="004C5C54" w:rsidP="004C5C54">
      <w:pPr>
        <w:pStyle w:val="Ttulo3"/>
        <w:numPr>
          <w:ilvl w:val="2"/>
          <w:numId w:val="1"/>
        </w:numPr>
      </w:pPr>
      <w:bookmarkStart w:id="18" w:name="_Toc9418031"/>
      <w:r w:rsidRPr="004C3EAF">
        <w:t>Variant Calling</w:t>
      </w:r>
      <w:bookmarkEnd w:id="18"/>
    </w:p>
    <w:p w14:paraId="4BCF2868" w14:textId="77777777" w:rsidR="004C5C54" w:rsidRPr="004C3EAF" w:rsidRDefault="004C5C54" w:rsidP="004C5C54">
      <w:pPr>
        <w:pStyle w:val="Ttulo3"/>
        <w:numPr>
          <w:ilvl w:val="2"/>
          <w:numId w:val="1"/>
        </w:numPr>
      </w:pPr>
      <w:bookmarkStart w:id="19" w:name="_Toc9418032"/>
      <w:r w:rsidRPr="004C3EAF">
        <w:t>Significant variants detection</w:t>
      </w:r>
      <w:bookmarkEnd w:id="19"/>
    </w:p>
    <w:p w14:paraId="654DFC91" w14:textId="77777777" w:rsidR="00E3485A" w:rsidRPr="004C3EAF" w:rsidRDefault="00E3485A" w:rsidP="001804EA">
      <w:pPr>
        <w:pStyle w:val="Ttulo2"/>
        <w:numPr>
          <w:ilvl w:val="1"/>
          <w:numId w:val="1"/>
        </w:numPr>
        <w:ind w:left="720" w:hanging="493"/>
        <w:rPr>
          <w:rFonts w:cs="Times New Roman"/>
        </w:rPr>
      </w:pPr>
      <w:bookmarkStart w:id="20" w:name="_Toc9418033"/>
      <w:r w:rsidRPr="004C3EAF">
        <w:rPr>
          <w:rFonts w:cs="Times New Roman"/>
        </w:rPr>
        <w:t>CNV Analysis</w:t>
      </w:r>
      <w:bookmarkEnd w:id="20"/>
      <w:r w:rsidRPr="004C3EAF">
        <w:rPr>
          <w:rFonts w:cs="Times New Roman"/>
        </w:rPr>
        <w:br w:type="page"/>
      </w:r>
    </w:p>
    <w:p w14:paraId="7BDF2EE6" w14:textId="77777777" w:rsidR="00E3485A" w:rsidRPr="004C3EAF" w:rsidRDefault="00E3485A" w:rsidP="00E3485A">
      <w:pPr>
        <w:pStyle w:val="Ttulo1"/>
        <w:numPr>
          <w:ilvl w:val="0"/>
          <w:numId w:val="1"/>
        </w:numPr>
        <w:ind w:left="284"/>
        <w:rPr>
          <w:rFonts w:cs="Times New Roman"/>
        </w:rPr>
      </w:pPr>
      <w:bookmarkStart w:id="21" w:name="_Toc9418034"/>
      <w:r w:rsidRPr="004C3EAF">
        <w:rPr>
          <w:rFonts w:cs="Times New Roman"/>
        </w:rPr>
        <w:lastRenderedPageBreak/>
        <w:t>Results</w:t>
      </w:r>
      <w:bookmarkEnd w:id="21"/>
    </w:p>
    <w:p w14:paraId="3C1720CC" w14:textId="77777777" w:rsidR="00E3485A" w:rsidRPr="004C3EAF" w:rsidRDefault="00E3485A" w:rsidP="00E3485A">
      <w:pPr>
        <w:rPr>
          <w:rFonts w:ascii="Times New Roman" w:hAnsi="Times New Roman" w:cs="Times New Roman"/>
        </w:rPr>
      </w:pPr>
    </w:p>
    <w:p w14:paraId="5E51F3AC"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08FDE4DB" w14:textId="77777777" w:rsidR="00E3485A" w:rsidRPr="004C3EAF" w:rsidRDefault="00E3485A" w:rsidP="00E3485A">
      <w:pPr>
        <w:pStyle w:val="Ttulo1"/>
        <w:numPr>
          <w:ilvl w:val="0"/>
          <w:numId w:val="1"/>
        </w:numPr>
        <w:ind w:left="284"/>
        <w:rPr>
          <w:rFonts w:cs="Times New Roman"/>
        </w:rPr>
      </w:pPr>
      <w:bookmarkStart w:id="22" w:name="_Toc9418035"/>
      <w:r w:rsidRPr="004C3EAF">
        <w:rPr>
          <w:rFonts w:cs="Times New Roman"/>
        </w:rPr>
        <w:lastRenderedPageBreak/>
        <w:t>Discussion</w:t>
      </w:r>
      <w:bookmarkEnd w:id="22"/>
    </w:p>
    <w:p w14:paraId="0F415118"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57D0CDA6" w14:textId="77777777" w:rsidR="00E3485A" w:rsidRPr="004C3EAF" w:rsidRDefault="00E3485A" w:rsidP="00E3485A">
      <w:pPr>
        <w:pStyle w:val="Ttulo1"/>
        <w:numPr>
          <w:ilvl w:val="0"/>
          <w:numId w:val="1"/>
        </w:numPr>
        <w:ind w:left="284"/>
        <w:rPr>
          <w:rFonts w:cs="Times New Roman"/>
        </w:rPr>
      </w:pPr>
      <w:bookmarkStart w:id="23" w:name="_Toc9418036"/>
      <w:r w:rsidRPr="004C3EAF">
        <w:rPr>
          <w:rFonts w:cs="Times New Roman"/>
        </w:rPr>
        <w:lastRenderedPageBreak/>
        <w:t>Conclusion</w:t>
      </w:r>
      <w:bookmarkEnd w:id="23"/>
    </w:p>
    <w:p w14:paraId="006E4189" w14:textId="77777777" w:rsidR="00E3485A" w:rsidRPr="004C3EAF" w:rsidRDefault="00E3485A" w:rsidP="00E3485A">
      <w:pPr>
        <w:rPr>
          <w:rFonts w:ascii="Times New Roman" w:hAnsi="Times New Roman" w:cs="Times New Roman"/>
        </w:rPr>
      </w:pPr>
    </w:p>
    <w:p w14:paraId="20D4CB49"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1E8770EF" w14:textId="77777777" w:rsidR="00E3485A" w:rsidRPr="004C3EAF" w:rsidRDefault="00E3485A" w:rsidP="00E3485A">
      <w:pPr>
        <w:pStyle w:val="Ttulo1"/>
        <w:numPr>
          <w:ilvl w:val="0"/>
          <w:numId w:val="1"/>
        </w:numPr>
        <w:ind w:left="284"/>
        <w:rPr>
          <w:rFonts w:cs="Times New Roman"/>
        </w:rPr>
      </w:pPr>
      <w:bookmarkStart w:id="24" w:name="_Toc9418037"/>
      <w:r w:rsidRPr="004C3EAF">
        <w:rPr>
          <w:rFonts w:cs="Times New Roman"/>
        </w:rPr>
        <w:lastRenderedPageBreak/>
        <w:t>Bibliography</w:t>
      </w:r>
      <w:bookmarkEnd w:id="24"/>
    </w:p>
    <w:p w14:paraId="4D0455C1"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3A5AB5E7" w14:textId="77777777" w:rsidR="00E3485A" w:rsidRPr="004C3EAF" w:rsidRDefault="00845E19" w:rsidP="00845E19">
      <w:pPr>
        <w:pStyle w:val="Ttulo1"/>
        <w:rPr>
          <w:rFonts w:cs="Times New Roman"/>
        </w:rPr>
      </w:pPr>
      <w:bookmarkStart w:id="25" w:name="_Toc9418038"/>
      <w:r w:rsidRPr="004C3EAF">
        <w:rPr>
          <w:rFonts w:cs="Times New Roman"/>
        </w:rPr>
        <w:lastRenderedPageBreak/>
        <w:t>Appendix</w:t>
      </w:r>
      <w:bookmarkEnd w:id="25"/>
    </w:p>
    <w:sectPr w:rsidR="00E3485A" w:rsidRPr="004C3E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6DE4" w14:textId="77777777" w:rsidR="0029249F" w:rsidRDefault="0029249F" w:rsidP="00BB29B6">
      <w:pPr>
        <w:spacing w:after="0" w:line="240" w:lineRule="auto"/>
      </w:pPr>
      <w:r>
        <w:separator/>
      </w:r>
    </w:p>
  </w:endnote>
  <w:endnote w:type="continuationSeparator" w:id="0">
    <w:p w14:paraId="2A827DF4" w14:textId="77777777" w:rsidR="0029249F" w:rsidRDefault="0029249F" w:rsidP="00BB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2D24" w14:textId="77777777" w:rsidR="0029249F" w:rsidRDefault="0029249F" w:rsidP="00BB29B6">
      <w:pPr>
        <w:spacing w:after="0" w:line="240" w:lineRule="auto"/>
      </w:pPr>
      <w:r>
        <w:separator/>
      </w:r>
    </w:p>
  </w:footnote>
  <w:footnote w:type="continuationSeparator" w:id="0">
    <w:p w14:paraId="7BF3EB78" w14:textId="77777777" w:rsidR="0029249F" w:rsidRDefault="0029249F" w:rsidP="00BB2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A09D3"/>
    <w:multiLevelType w:val="multilevel"/>
    <w:tmpl w:val="DC5429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B6"/>
    <w:rsid w:val="00081B06"/>
    <w:rsid w:val="000B1802"/>
    <w:rsid w:val="000E1D90"/>
    <w:rsid w:val="00117B71"/>
    <w:rsid w:val="00133287"/>
    <w:rsid w:val="00155002"/>
    <w:rsid w:val="00156390"/>
    <w:rsid w:val="001804EA"/>
    <w:rsid w:val="00224286"/>
    <w:rsid w:val="0029249F"/>
    <w:rsid w:val="002F1A3C"/>
    <w:rsid w:val="003678B6"/>
    <w:rsid w:val="003F09EC"/>
    <w:rsid w:val="004B535C"/>
    <w:rsid w:val="004C3EAF"/>
    <w:rsid w:val="004C566F"/>
    <w:rsid w:val="004C5C54"/>
    <w:rsid w:val="00581FB0"/>
    <w:rsid w:val="005E45A9"/>
    <w:rsid w:val="00651A82"/>
    <w:rsid w:val="006736FC"/>
    <w:rsid w:val="006761E7"/>
    <w:rsid w:val="006B2A57"/>
    <w:rsid w:val="007371B1"/>
    <w:rsid w:val="007D6721"/>
    <w:rsid w:val="00845E19"/>
    <w:rsid w:val="00847CC4"/>
    <w:rsid w:val="00890B81"/>
    <w:rsid w:val="009304EB"/>
    <w:rsid w:val="00B22D1A"/>
    <w:rsid w:val="00B23CD3"/>
    <w:rsid w:val="00B26211"/>
    <w:rsid w:val="00BA45B1"/>
    <w:rsid w:val="00BB29B6"/>
    <w:rsid w:val="00BF4DF3"/>
    <w:rsid w:val="00C93722"/>
    <w:rsid w:val="00CA57AE"/>
    <w:rsid w:val="00CE1F12"/>
    <w:rsid w:val="00DF61B3"/>
    <w:rsid w:val="00E1041C"/>
    <w:rsid w:val="00E3485A"/>
    <w:rsid w:val="00F51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A853"/>
  <w15:chartTrackingRefBased/>
  <w15:docId w15:val="{5276D46D-EA26-4542-A741-FFF34DF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4"/>
    <w:rPr>
      <w:lang w:val="en-GB"/>
    </w:rPr>
  </w:style>
  <w:style w:type="paragraph" w:styleId="Ttulo1">
    <w:name w:val="heading 1"/>
    <w:basedOn w:val="Normal"/>
    <w:next w:val="Normal"/>
    <w:link w:val="Ttulo1Car"/>
    <w:uiPriority w:val="9"/>
    <w:qFormat/>
    <w:rsid w:val="004C5C5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Ttulo2">
    <w:name w:val="heading 2"/>
    <w:basedOn w:val="Normal"/>
    <w:next w:val="Normal"/>
    <w:link w:val="Ttulo2Car"/>
    <w:uiPriority w:val="9"/>
    <w:unhideWhenUsed/>
    <w:qFormat/>
    <w:rsid w:val="004C5C5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117B71"/>
    <w:pPr>
      <w:keepNext/>
      <w:keepLines/>
      <w:spacing w:before="160" w:after="120"/>
      <w:outlineLvl w:val="2"/>
    </w:pPr>
    <w:rPr>
      <w:rFonts w:ascii="Times New Roman" w:eastAsiaTheme="majorEastAsia" w:hAnsi="Times New Roman"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736FC"/>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9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9B6"/>
    <w:rPr>
      <w:lang w:val="en-GB"/>
    </w:rPr>
  </w:style>
  <w:style w:type="paragraph" w:styleId="Piedepgina">
    <w:name w:val="footer"/>
    <w:basedOn w:val="Normal"/>
    <w:link w:val="PiedepginaCar"/>
    <w:uiPriority w:val="99"/>
    <w:unhideWhenUsed/>
    <w:rsid w:val="00BB29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6"/>
    <w:rPr>
      <w:lang w:val="en-GB"/>
    </w:rPr>
  </w:style>
  <w:style w:type="character" w:customStyle="1" w:styleId="Ttulo1Car">
    <w:name w:val="Título 1 Car"/>
    <w:basedOn w:val="Fuentedeprrafopredeter"/>
    <w:link w:val="Ttulo1"/>
    <w:uiPriority w:val="9"/>
    <w:rsid w:val="004C5C54"/>
    <w:rPr>
      <w:rFonts w:ascii="Times New Roman" w:eastAsiaTheme="majorEastAsia" w:hAnsi="Times New Roman"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4C5C54"/>
    <w:rPr>
      <w:rFonts w:ascii="Times New Roman" w:eastAsiaTheme="majorEastAsia" w:hAnsi="Times New Roman" w:cstheme="majorBidi"/>
      <w:color w:val="2F5496" w:themeColor="accent1" w:themeShade="BF"/>
      <w:sz w:val="26"/>
      <w:szCs w:val="26"/>
      <w:lang w:val="en-GB"/>
    </w:rPr>
  </w:style>
  <w:style w:type="paragraph" w:styleId="Prrafodelista">
    <w:name w:val="List Paragraph"/>
    <w:basedOn w:val="Normal"/>
    <w:uiPriority w:val="34"/>
    <w:qFormat/>
    <w:rsid w:val="00E3485A"/>
    <w:pPr>
      <w:ind w:left="720"/>
      <w:contextualSpacing/>
    </w:pPr>
  </w:style>
  <w:style w:type="paragraph" w:styleId="TtuloTDC">
    <w:name w:val="TOC Heading"/>
    <w:basedOn w:val="Ttulo1"/>
    <w:next w:val="Normal"/>
    <w:uiPriority w:val="39"/>
    <w:unhideWhenUsed/>
    <w:qFormat/>
    <w:rsid w:val="00845E19"/>
    <w:pPr>
      <w:outlineLvl w:val="9"/>
    </w:pPr>
    <w:rPr>
      <w:lang w:val="es-ES" w:eastAsia="es-ES"/>
    </w:rPr>
  </w:style>
  <w:style w:type="paragraph" w:styleId="TDC1">
    <w:name w:val="toc 1"/>
    <w:basedOn w:val="Normal"/>
    <w:next w:val="Normal"/>
    <w:autoRedefine/>
    <w:uiPriority w:val="39"/>
    <w:unhideWhenUsed/>
    <w:rsid w:val="00845E19"/>
    <w:pPr>
      <w:spacing w:after="100"/>
    </w:pPr>
  </w:style>
  <w:style w:type="paragraph" w:styleId="TDC2">
    <w:name w:val="toc 2"/>
    <w:basedOn w:val="Normal"/>
    <w:next w:val="Normal"/>
    <w:autoRedefine/>
    <w:uiPriority w:val="39"/>
    <w:unhideWhenUsed/>
    <w:rsid w:val="00845E19"/>
    <w:pPr>
      <w:spacing w:after="100"/>
      <w:ind w:left="220"/>
    </w:pPr>
  </w:style>
  <w:style w:type="character" w:styleId="Hipervnculo">
    <w:name w:val="Hyperlink"/>
    <w:basedOn w:val="Fuentedeprrafopredeter"/>
    <w:uiPriority w:val="99"/>
    <w:unhideWhenUsed/>
    <w:rsid w:val="00845E19"/>
    <w:rPr>
      <w:color w:val="0563C1" w:themeColor="hyperlink"/>
      <w:u w:val="single"/>
    </w:rPr>
  </w:style>
  <w:style w:type="character" w:customStyle="1" w:styleId="Ttulo3Car">
    <w:name w:val="Título 3 Car"/>
    <w:basedOn w:val="Fuentedeprrafopredeter"/>
    <w:link w:val="Ttulo3"/>
    <w:uiPriority w:val="9"/>
    <w:rsid w:val="00117B71"/>
    <w:rPr>
      <w:rFonts w:ascii="Times New Roman" w:eastAsiaTheme="majorEastAsia" w:hAnsi="Times New Roman" w:cstheme="majorBidi"/>
      <w:color w:val="1F3763" w:themeColor="accent1" w:themeShade="7F"/>
      <w:sz w:val="24"/>
      <w:szCs w:val="24"/>
      <w:lang w:val="en-GB"/>
    </w:rPr>
  </w:style>
  <w:style w:type="paragraph" w:styleId="TDC3">
    <w:name w:val="toc 3"/>
    <w:basedOn w:val="Normal"/>
    <w:next w:val="Normal"/>
    <w:autoRedefine/>
    <w:uiPriority w:val="39"/>
    <w:unhideWhenUsed/>
    <w:rsid w:val="004C5C54"/>
    <w:pPr>
      <w:spacing w:after="100"/>
      <w:ind w:left="440"/>
    </w:pPr>
  </w:style>
  <w:style w:type="character" w:customStyle="1" w:styleId="Ttulo4Car">
    <w:name w:val="Título 4 Car"/>
    <w:basedOn w:val="Fuentedeprrafopredeter"/>
    <w:link w:val="Ttulo4"/>
    <w:uiPriority w:val="9"/>
    <w:semiHidden/>
    <w:rsid w:val="006736FC"/>
    <w:rPr>
      <w:rFonts w:ascii="Times New Roman" w:eastAsiaTheme="majorEastAsia" w:hAnsi="Times New Roman"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8E1A-84AE-4606-A2C0-59A5444F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17</Pages>
  <Words>5597</Words>
  <Characters>30788</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De la Hoz</dc:creator>
  <cp:keywords/>
  <dc:description/>
  <cp:lastModifiedBy>Isaac David De la Hoz</cp:lastModifiedBy>
  <cp:revision>5</cp:revision>
  <dcterms:created xsi:type="dcterms:W3CDTF">2019-05-20T15:43:00Z</dcterms:created>
  <dcterms:modified xsi:type="dcterms:W3CDTF">2019-05-22T11:39:00Z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d4b53f3b-b36b-3742-9923-4d032293abb3</vt:lpwstr>
  </property>
  <property fmtid="{D5CDD505-2E9C-101B-9397-08002B2CF9AE}" pid="24" name="Mendeley Citation Style_1">
    <vt:lpwstr>http://www.zotero.org/styles/american-medical-association</vt:lpwstr>
  </property>
</Properties>
</file>