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29A977F3" w:rsidR="00C72ACB" w:rsidRDefault="00C72ACB" w:rsidP="00C72ACB">
      <w:pPr>
        <w:pStyle w:val="Heading1"/>
      </w:pPr>
      <w:r>
        <w:t>25/06</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fldChar w:fldCharType="begin"/>
      </w:r>
      <w:r>
        <w:instrText xml:space="preserve"> HYPERLINK "https://radimrehurek.com/gensim/models/keyedvectors.html" \l "gensim.models.keyedvectors.KeyedVectors" \o "gensim.models.keyedvectors.KeyedVectors" </w:instrText>
      </w:r>
      <w:r>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6F46DBAC" w:rsidR="00F00992" w:rsidRDefault="00F00992" w:rsidP="00F00992">
      <w:pPr>
        <w:pStyle w:val="Heading1"/>
      </w:pPr>
      <w:r>
        <w:t>2</w:t>
      </w:r>
      <w:r>
        <w:t>6</w:t>
      </w:r>
      <w:r>
        <w:t>/06</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w:t>
      </w:r>
      <w:r>
        <w:t>trained on a Google News dataset consisting</w:t>
      </w:r>
      <w:r>
        <w:t xml:space="preserve"> </w:t>
      </w:r>
      <w:r>
        <w:t xml:space="preserve">of about 100B word tokens using word2vec. The vocabulary size is 3,000,000. </w:t>
      </w:r>
    </w:p>
    <w:p w14:paraId="62CA8E28" w14:textId="6D3C55FD" w:rsidR="00115AFB" w:rsidRDefault="00115AFB" w:rsidP="00115AFB">
      <w:r>
        <w:t>However, out</w:t>
      </w:r>
      <w:r>
        <w:t xml:space="preserve"> </w:t>
      </w:r>
      <w:r>
        <w:t>of these 3,000,000, actually 2,070,978 terms contain a space, most of which are multi-word</w:t>
      </w:r>
      <w:r>
        <w:t xml:space="preserve"> </w:t>
      </w:r>
      <w:r>
        <w:t>expressions or named entities. Thus, the number of genuine words is much smaller</w:t>
      </w:r>
      <w:r>
        <w:t>”</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r w:rsidRPr="00472548">
        <w:rPr>
          <w:rFonts w:ascii="Menlo" w:hAnsi="Menlo" w:cs="Menlo"/>
          <w:sz w:val="18"/>
          <w:szCs w:val="18"/>
        </w:rPr>
        <w:t>’</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47DDE2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Keep out anything with count &lt; 5.</w:t>
      </w:r>
    </w:p>
    <w:p w14:paraId="76323CFD" w14:textId="005A9D77" w:rsidR="00783CCB" w:rsidRDefault="00783CCB" w:rsidP="00472548"/>
    <w:p w14:paraId="2F5792E8" w14:textId="2312FB3F" w:rsidR="00783CCB" w:rsidRDefault="00783CCB" w:rsidP="00783CCB">
      <w:pPr>
        <w:pStyle w:val="ListParagraph"/>
        <w:numPr>
          <w:ilvl w:val="0"/>
          <w:numId w:val="20"/>
        </w:numPr>
      </w:pPr>
      <w:r>
        <w:t>Alternative:</w:t>
      </w:r>
      <w:r w:rsidR="00A15639">
        <w:t xml:space="preserve"> create an entirely new vocabulary, possibly from definitions + examples.</w:t>
      </w:r>
      <w:bookmarkStart w:id="0" w:name="_GoBack"/>
      <w:bookmarkEnd w:id="0"/>
    </w:p>
    <w:p w14:paraId="4C93A785" w14:textId="578E7780" w:rsidR="00783CCB" w:rsidRDefault="00783CCB" w:rsidP="00472548"/>
    <w:p w14:paraId="0F8B4FB5" w14:textId="77777777" w:rsidR="00783CCB" w:rsidRPr="00D24F77" w:rsidRDefault="00783CCB" w:rsidP="00472548"/>
    <w:sectPr w:rsidR="00783CCB"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4"/>
  </w:num>
  <w:num w:numId="4">
    <w:abstractNumId w:val="4"/>
  </w:num>
  <w:num w:numId="5">
    <w:abstractNumId w:val="6"/>
  </w:num>
  <w:num w:numId="6">
    <w:abstractNumId w:val="12"/>
  </w:num>
  <w:num w:numId="7">
    <w:abstractNumId w:val="1"/>
  </w:num>
  <w:num w:numId="8">
    <w:abstractNumId w:val="5"/>
  </w:num>
  <w:num w:numId="9">
    <w:abstractNumId w:val="13"/>
  </w:num>
  <w:num w:numId="10">
    <w:abstractNumId w:val="7"/>
  </w:num>
  <w:num w:numId="11">
    <w:abstractNumId w:val="17"/>
  </w:num>
  <w:num w:numId="12">
    <w:abstractNumId w:val="10"/>
  </w:num>
  <w:num w:numId="13">
    <w:abstractNumId w:val="9"/>
  </w:num>
  <w:num w:numId="14">
    <w:abstractNumId w:val="16"/>
  </w:num>
  <w:num w:numId="15">
    <w:abstractNumId w:val="0"/>
  </w:num>
  <w:num w:numId="16">
    <w:abstractNumId w:val="15"/>
  </w:num>
  <w:num w:numId="17">
    <w:abstractNumId w:val="8"/>
  </w:num>
  <w:num w:numId="18">
    <w:abstractNumId w:val="3"/>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627F"/>
    <w:rsid w:val="0004373F"/>
    <w:rsid w:val="000509C4"/>
    <w:rsid w:val="000509FF"/>
    <w:rsid w:val="0005528D"/>
    <w:rsid w:val="00061ECE"/>
    <w:rsid w:val="000837D9"/>
    <w:rsid w:val="000A080E"/>
    <w:rsid w:val="000A20D3"/>
    <w:rsid w:val="000A279A"/>
    <w:rsid w:val="000A5409"/>
    <w:rsid w:val="000A5E45"/>
    <w:rsid w:val="000A60F3"/>
    <w:rsid w:val="000C2416"/>
    <w:rsid w:val="000D799A"/>
    <w:rsid w:val="000E0135"/>
    <w:rsid w:val="000E4B9A"/>
    <w:rsid w:val="00100529"/>
    <w:rsid w:val="0010602D"/>
    <w:rsid w:val="00115AFB"/>
    <w:rsid w:val="001230DC"/>
    <w:rsid w:val="00133CE6"/>
    <w:rsid w:val="00135AEB"/>
    <w:rsid w:val="00135E93"/>
    <w:rsid w:val="00143238"/>
    <w:rsid w:val="00144D7C"/>
    <w:rsid w:val="001463AE"/>
    <w:rsid w:val="0015096D"/>
    <w:rsid w:val="00167B2E"/>
    <w:rsid w:val="00172541"/>
    <w:rsid w:val="00172E88"/>
    <w:rsid w:val="0017782E"/>
    <w:rsid w:val="001B4F95"/>
    <w:rsid w:val="001B5879"/>
    <w:rsid w:val="001B78BF"/>
    <w:rsid w:val="001D08C3"/>
    <w:rsid w:val="001D0A68"/>
    <w:rsid w:val="001E2CAD"/>
    <w:rsid w:val="001F460A"/>
    <w:rsid w:val="00204BD2"/>
    <w:rsid w:val="00225557"/>
    <w:rsid w:val="00227618"/>
    <w:rsid w:val="002340C5"/>
    <w:rsid w:val="002525B4"/>
    <w:rsid w:val="002563DE"/>
    <w:rsid w:val="00270E5D"/>
    <w:rsid w:val="002730DE"/>
    <w:rsid w:val="0027575A"/>
    <w:rsid w:val="00292EC8"/>
    <w:rsid w:val="00295A3A"/>
    <w:rsid w:val="00295D9E"/>
    <w:rsid w:val="0029780A"/>
    <w:rsid w:val="002A1A6A"/>
    <w:rsid w:val="002A2247"/>
    <w:rsid w:val="002A5452"/>
    <w:rsid w:val="002B191A"/>
    <w:rsid w:val="002D35C5"/>
    <w:rsid w:val="002F0B04"/>
    <w:rsid w:val="003036E6"/>
    <w:rsid w:val="00313FF9"/>
    <w:rsid w:val="00325C22"/>
    <w:rsid w:val="003334B6"/>
    <w:rsid w:val="00365731"/>
    <w:rsid w:val="0038031B"/>
    <w:rsid w:val="003859D7"/>
    <w:rsid w:val="00387B0A"/>
    <w:rsid w:val="003A016E"/>
    <w:rsid w:val="003B114E"/>
    <w:rsid w:val="003B6610"/>
    <w:rsid w:val="003B729B"/>
    <w:rsid w:val="003C4D8A"/>
    <w:rsid w:val="003E2D55"/>
    <w:rsid w:val="003E4CD4"/>
    <w:rsid w:val="004137B4"/>
    <w:rsid w:val="00417BE7"/>
    <w:rsid w:val="00420612"/>
    <w:rsid w:val="004415CF"/>
    <w:rsid w:val="00444F84"/>
    <w:rsid w:val="00453276"/>
    <w:rsid w:val="00454AC5"/>
    <w:rsid w:val="00456C67"/>
    <w:rsid w:val="00470E63"/>
    <w:rsid w:val="00472548"/>
    <w:rsid w:val="004A0D33"/>
    <w:rsid w:val="004A2CDC"/>
    <w:rsid w:val="004A42E3"/>
    <w:rsid w:val="004A44E2"/>
    <w:rsid w:val="004A6C5C"/>
    <w:rsid w:val="004B43C8"/>
    <w:rsid w:val="004B509C"/>
    <w:rsid w:val="004C260C"/>
    <w:rsid w:val="004F2D75"/>
    <w:rsid w:val="004F6D37"/>
    <w:rsid w:val="00514D66"/>
    <w:rsid w:val="00515A5C"/>
    <w:rsid w:val="00515ABB"/>
    <w:rsid w:val="005160DF"/>
    <w:rsid w:val="005233D5"/>
    <w:rsid w:val="00525675"/>
    <w:rsid w:val="00525D2A"/>
    <w:rsid w:val="00526A83"/>
    <w:rsid w:val="005476BA"/>
    <w:rsid w:val="005478CE"/>
    <w:rsid w:val="00556E14"/>
    <w:rsid w:val="0056047D"/>
    <w:rsid w:val="00571041"/>
    <w:rsid w:val="005724DA"/>
    <w:rsid w:val="00575692"/>
    <w:rsid w:val="00576545"/>
    <w:rsid w:val="005A2CE8"/>
    <w:rsid w:val="005C412A"/>
    <w:rsid w:val="005C5F40"/>
    <w:rsid w:val="005D69BC"/>
    <w:rsid w:val="006012B8"/>
    <w:rsid w:val="00601540"/>
    <w:rsid w:val="006162FC"/>
    <w:rsid w:val="00641FE6"/>
    <w:rsid w:val="00651649"/>
    <w:rsid w:val="00654B09"/>
    <w:rsid w:val="00664B8B"/>
    <w:rsid w:val="0067079A"/>
    <w:rsid w:val="00671F71"/>
    <w:rsid w:val="00675EDA"/>
    <w:rsid w:val="00677D91"/>
    <w:rsid w:val="00681887"/>
    <w:rsid w:val="006978FF"/>
    <w:rsid w:val="006A496F"/>
    <w:rsid w:val="006A5EA3"/>
    <w:rsid w:val="006C1477"/>
    <w:rsid w:val="006D0F65"/>
    <w:rsid w:val="006E6175"/>
    <w:rsid w:val="0070724E"/>
    <w:rsid w:val="00710226"/>
    <w:rsid w:val="00713255"/>
    <w:rsid w:val="00720B79"/>
    <w:rsid w:val="0072458B"/>
    <w:rsid w:val="0073087F"/>
    <w:rsid w:val="007340F3"/>
    <w:rsid w:val="00736998"/>
    <w:rsid w:val="00750A74"/>
    <w:rsid w:val="00760F57"/>
    <w:rsid w:val="00766C6E"/>
    <w:rsid w:val="00771DB8"/>
    <w:rsid w:val="00781120"/>
    <w:rsid w:val="0078122B"/>
    <w:rsid w:val="00783CCB"/>
    <w:rsid w:val="00785B28"/>
    <w:rsid w:val="00797ADE"/>
    <w:rsid w:val="007A36C7"/>
    <w:rsid w:val="007A502A"/>
    <w:rsid w:val="007A53C3"/>
    <w:rsid w:val="007B1158"/>
    <w:rsid w:val="007C1229"/>
    <w:rsid w:val="007C5BD7"/>
    <w:rsid w:val="007E0650"/>
    <w:rsid w:val="007E2003"/>
    <w:rsid w:val="008010FE"/>
    <w:rsid w:val="00806058"/>
    <w:rsid w:val="00817A13"/>
    <w:rsid w:val="00826D8A"/>
    <w:rsid w:val="00827D6D"/>
    <w:rsid w:val="00831471"/>
    <w:rsid w:val="008322DD"/>
    <w:rsid w:val="00837302"/>
    <w:rsid w:val="008637A5"/>
    <w:rsid w:val="008641A0"/>
    <w:rsid w:val="00865E33"/>
    <w:rsid w:val="00875792"/>
    <w:rsid w:val="008858A2"/>
    <w:rsid w:val="00887C0B"/>
    <w:rsid w:val="008944F1"/>
    <w:rsid w:val="008A190F"/>
    <w:rsid w:val="008A5638"/>
    <w:rsid w:val="008B0F94"/>
    <w:rsid w:val="008B711E"/>
    <w:rsid w:val="008D1294"/>
    <w:rsid w:val="008D208F"/>
    <w:rsid w:val="008D343A"/>
    <w:rsid w:val="008E0DD4"/>
    <w:rsid w:val="008F1306"/>
    <w:rsid w:val="008F1DB4"/>
    <w:rsid w:val="008F53FF"/>
    <w:rsid w:val="00904987"/>
    <w:rsid w:val="0091156F"/>
    <w:rsid w:val="0091243C"/>
    <w:rsid w:val="00921D91"/>
    <w:rsid w:val="009241B4"/>
    <w:rsid w:val="0092420C"/>
    <w:rsid w:val="00924BA4"/>
    <w:rsid w:val="00931D57"/>
    <w:rsid w:val="0093340A"/>
    <w:rsid w:val="00955EA9"/>
    <w:rsid w:val="00956F7A"/>
    <w:rsid w:val="00967498"/>
    <w:rsid w:val="00972240"/>
    <w:rsid w:val="00985389"/>
    <w:rsid w:val="00990AC8"/>
    <w:rsid w:val="009B45E0"/>
    <w:rsid w:val="009B6D0C"/>
    <w:rsid w:val="009C1CFB"/>
    <w:rsid w:val="009C25A1"/>
    <w:rsid w:val="009D774C"/>
    <w:rsid w:val="00A15639"/>
    <w:rsid w:val="00A22478"/>
    <w:rsid w:val="00A239C3"/>
    <w:rsid w:val="00A360DD"/>
    <w:rsid w:val="00A467D4"/>
    <w:rsid w:val="00A507AE"/>
    <w:rsid w:val="00A543A4"/>
    <w:rsid w:val="00A6227E"/>
    <w:rsid w:val="00A63ECC"/>
    <w:rsid w:val="00A7171F"/>
    <w:rsid w:val="00A72D90"/>
    <w:rsid w:val="00A72E1E"/>
    <w:rsid w:val="00A74338"/>
    <w:rsid w:val="00A7438E"/>
    <w:rsid w:val="00A83BEE"/>
    <w:rsid w:val="00A90E42"/>
    <w:rsid w:val="00A93843"/>
    <w:rsid w:val="00AA35C4"/>
    <w:rsid w:val="00AA3780"/>
    <w:rsid w:val="00AA5D6F"/>
    <w:rsid w:val="00AB1B74"/>
    <w:rsid w:val="00AB5EF1"/>
    <w:rsid w:val="00AC146E"/>
    <w:rsid w:val="00AD376E"/>
    <w:rsid w:val="00AF78C3"/>
    <w:rsid w:val="00B02F05"/>
    <w:rsid w:val="00B1367F"/>
    <w:rsid w:val="00B1484A"/>
    <w:rsid w:val="00B1558F"/>
    <w:rsid w:val="00B16E6E"/>
    <w:rsid w:val="00B3122E"/>
    <w:rsid w:val="00B32A46"/>
    <w:rsid w:val="00B43D53"/>
    <w:rsid w:val="00B46E8C"/>
    <w:rsid w:val="00B505C5"/>
    <w:rsid w:val="00B518AA"/>
    <w:rsid w:val="00B55BE3"/>
    <w:rsid w:val="00B67B20"/>
    <w:rsid w:val="00B7584D"/>
    <w:rsid w:val="00B93704"/>
    <w:rsid w:val="00B940D4"/>
    <w:rsid w:val="00B965C7"/>
    <w:rsid w:val="00BC16E2"/>
    <w:rsid w:val="00BC4708"/>
    <w:rsid w:val="00BD5888"/>
    <w:rsid w:val="00BE0F23"/>
    <w:rsid w:val="00BF4565"/>
    <w:rsid w:val="00C057FD"/>
    <w:rsid w:val="00C117AB"/>
    <w:rsid w:val="00C13E66"/>
    <w:rsid w:val="00C266E9"/>
    <w:rsid w:val="00C425E6"/>
    <w:rsid w:val="00C44A66"/>
    <w:rsid w:val="00C44C87"/>
    <w:rsid w:val="00C62F2B"/>
    <w:rsid w:val="00C70614"/>
    <w:rsid w:val="00C72ACB"/>
    <w:rsid w:val="00C76C2E"/>
    <w:rsid w:val="00C82F92"/>
    <w:rsid w:val="00C84FC7"/>
    <w:rsid w:val="00C940B6"/>
    <w:rsid w:val="00C97B37"/>
    <w:rsid w:val="00CB1C7E"/>
    <w:rsid w:val="00CC2709"/>
    <w:rsid w:val="00CC3520"/>
    <w:rsid w:val="00CD53BF"/>
    <w:rsid w:val="00CE63F6"/>
    <w:rsid w:val="00CF5BAE"/>
    <w:rsid w:val="00D0327B"/>
    <w:rsid w:val="00D0729B"/>
    <w:rsid w:val="00D1303E"/>
    <w:rsid w:val="00D15E68"/>
    <w:rsid w:val="00D2206E"/>
    <w:rsid w:val="00D24F77"/>
    <w:rsid w:val="00D43901"/>
    <w:rsid w:val="00D460F3"/>
    <w:rsid w:val="00D50E91"/>
    <w:rsid w:val="00D64C4E"/>
    <w:rsid w:val="00D6696E"/>
    <w:rsid w:val="00D71756"/>
    <w:rsid w:val="00D85F79"/>
    <w:rsid w:val="00D87CCB"/>
    <w:rsid w:val="00D90D54"/>
    <w:rsid w:val="00D93D68"/>
    <w:rsid w:val="00D94DDC"/>
    <w:rsid w:val="00DA0A65"/>
    <w:rsid w:val="00DA407F"/>
    <w:rsid w:val="00DA62F4"/>
    <w:rsid w:val="00DB22C2"/>
    <w:rsid w:val="00DB78F2"/>
    <w:rsid w:val="00DC3904"/>
    <w:rsid w:val="00DD3CB9"/>
    <w:rsid w:val="00DE05E4"/>
    <w:rsid w:val="00DE2716"/>
    <w:rsid w:val="00E02B3B"/>
    <w:rsid w:val="00E16858"/>
    <w:rsid w:val="00E16997"/>
    <w:rsid w:val="00E20B85"/>
    <w:rsid w:val="00E215C6"/>
    <w:rsid w:val="00E23982"/>
    <w:rsid w:val="00E267FE"/>
    <w:rsid w:val="00E32BD4"/>
    <w:rsid w:val="00E47E3E"/>
    <w:rsid w:val="00E605CA"/>
    <w:rsid w:val="00E624EF"/>
    <w:rsid w:val="00E63EFD"/>
    <w:rsid w:val="00E83C2D"/>
    <w:rsid w:val="00E8646A"/>
    <w:rsid w:val="00E96419"/>
    <w:rsid w:val="00EA195E"/>
    <w:rsid w:val="00EA4059"/>
    <w:rsid w:val="00EC71BB"/>
    <w:rsid w:val="00ED426D"/>
    <w:rsid w:val="00ED689D"/>
    <w:rsid w:val="00EE165D"/>
    <w:rsid w:val="00F00992"/>
    <w:rsid w:val="00F069F3"/>
    <w:rsid w:val="00F07D28"/>
    <w:rsid w:val="00F17CA8"/>
    <w:rsid w:val="00F24B16"/>
    <w:rsid w:val="00F2696B"/>
    <w:rsid w:val="00F273B3"/>
    <w:rsid w:val="00F463A1"/>
    <w:rsid w:val="00F57539"/>
    <w:rsid w:val="00F57836"/>
    <w:rsid w:val="00F73855"/>
    <w:rsid w:val="00F7798F"/>
    <w:rsid w:val="00F77BD1"/>
    <w:rsid w:val="00FA58FF"/>
    <w:rsid w:val="00FA6AA4"/>
    <w:rsid w:val="00FB1A47"/>
    <w:rsid w:val="00FB2170"/>
    <w:rsid w:val="00FD2B11"/>
    <w:rsid w:val="00FD3577"/>
    <w:rsid w:val="00FE7503"/>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065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ccormickml.com/2019/05/14/BERT-word-embeddings-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5" Type="http://schemas.openxmlformats.org/officeDocument/2006/relationships/hyperlink" Target="https://github.com/Cartus/DCGCN" TargetMode="External"/><Relationship Id="rId10" Type="http://schemas.openxmlformats.org/officeDocument/2006/relationships/hyperlink" Target="https://radimrehurek.com/gensim/models/word2vec.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21</Pages>
  <Words>5537</Words>
  <Characters>31563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283</cp:revision>
  <dcterms:created xsi:type="dcterms:W3CDTF">2019-07-25T13:48:00Z</dcterms:created>
  <dcterms:modified xsi:type="dcterms:W3CDTF">2019-08-26T14:42:00Z</dcterms:modified>
</cp:coreProperties>
</file>