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2B56" w14:textId="2703B351" w:rsidR="00C9463D" w:rsidRPr="004B7EDC" w:rsidRDefault="00C9463D" w:rsidP="004D61C7">
      <w:pPr>
        <w:pStyle w:val="Titolo"/>
        <w:jc w:val="center"/>
        <w:rPr>
          <w:b/>
          <w:bCs/>
          <w:sz w:val="40"/>
          <w:szCs w:val="40"/>
        </w:rPr>
      </w:pPr>
      <w:r w:rsidRPr="004B7EDC">
        <w:rPr>
          <w:b/>
          <w:bCs/>
          <w:sz w:val="40"/>
          <w:szCs w:val="40"/>
        </w:rPr>
        <w:t>RICHIAMI DI ELETTROMAGNETISMO</w:t>
      </w:r>
    </w:p>
    <w:p w14:paraId="54030444" w14:textId="77777777" w:rsidR="00F32533" w:rsidRPr="00F32533" w:rsidRDefault="00F32533" w:rsidP="00F32533"/>
    <w:p w14:paraId="049D1003" w14:textId="28864A0A" w:rsidR="00EB2F1D" w:rsidRPr="004B7EDC" w:rsidRDefault="00C9463D" w:rsidP="00E63273">
      <w:pPr>
        <w:pStyle w:val="Paragrafoelenco"/>
        <w:numPr>
          <w:ilvl w:val="0"/>
          <w:numId w:val="2"/>
        </w:numPr>
        <w:spacing w:after="0" w:line="240" w:lineRule="auto"/>
        <w:rPr>
          <w:rStyle w:val="Enfasidelicata"/>
          <w:b/>
          <w:bCs/>
          <w:color w:val="FF0000"/>
        </w:rPr>
      </w:pPr>
      <w:r w:rsidRPr="004B7EDC">
        <w:rPr>
          <w:rStyle w:val="Enfasidelicata"/>
          <w:b/>
          <w:bCs/>
          <w:color w:val="FF0000"/>
        </w:rPr>
        <w:t>POTENZIALE ELETTRICO O LAVORO DELLA FORZA ELETTROSTATICA:</w:t>
      </w:r>
    </w:p>
    <w:p w14:paraId="610ED2E8" w14:textId="64BBF685" w:rsidR="00EB2F1D" w:rsidRPr="00C9463D" w:rsidRDefault="00000000" w:rsidP="004D61C7">
      <w:pPr>
        <w:spacing w:after="0" w:line="240" w:lineRule="auto"/>
        <w:jc w:val="center"/>
        <w:rPr>
          <w:rFonts w:eastAsiaTheme="minorEastAsia"/>
          <w:b/>
          <w:bCs/>
          <w:color w:val="FF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ab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F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estat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dl</m:t>
                  </m:r>
                </m:e>
              </m:acc>
            </m:e>
          </m:nary>
          <m:r>
            <m:rPr>
              <m:sty m:val="bi"/>
            </m:rPr>
            <w:rPr>
              <w:rFonts w:ascii="Cambria Math" w:hAnsi="Cambria Math"/>
              <w:color w:val="FF0000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estat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dl</m:t>
                  </m:r>
                </m:e>
              </m:acc>
            </m:e>
          </m:nary>
        </m:oMath>
      </m:oMathPara>
    </w:p>
    <w:p w14:paraId="115C7504" w14:textId="344E9197" w:rsidR="00D10FAB" w:rsidRPr="00D10FAB" w:rsidRDefault="00D10FAB" w:rsidP="004D61C7">
      <w:pPr>
        <w:spacing w:after="0" w:line="240" w:lineRule="auto"/>
      </w:pPr>
      <w:r>
        <w:rPr>
          <w:rFonts w:eastAsiaTheme="minorEastAsia"/>
        </w:rPr>
        <w:t>Per unità di carica si ha</w:t>
      </w:r>
      <w:r w:rsidR="00C9463D">
        <w:rPr>
          <w:rFonts w:eastAsiaTheme="minorEastAsia"/>
        </w:rPr>
        <w:t>:</w:t>
      </w:r>
    </w:p>
    <w:p w14:paraId="0F3FA9C4" w14:textId="3ACBB795" w:rsidR="00D10FAB" w:rsidRPr="00500E4C" w:rsidRDefault="00000000" w:rsidP="004D61C7">
      <w:pPr>
        <w:spacing w:after="0" w:line="240" w:lineRule="auto"/>
        <w:jc w:val="center"/>
        <w:rPr>
          <w:rFonts w:eastAsiaTheme="minorEastAs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  <m:sup>
              <m:r>
                <w:rPr>
                  <w:rFonts w:ascii="Cambria Math" w:hAnsi="Cambria Math"/>
                </w:rPr>
                <m:t>u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estat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dl</m:t>
                      </m:r>
                    </m:e>
                  </m:acc>
                </m:e>
              </m:nary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estat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dl</m:t>
                  </m:r>
                </m:e>
              </m:acc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3E93E83A" w14:textId="0288B5B0" w:rsidR="00500E4C" w:rsidRPr="00500E4C" w:rsidRDefault="00500E4C" w:rsidP="004D61C7">
      <w:pPr>
        <w:spacing w:after="0" w:line="240" w:lineRule="auto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estat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dl</m:t>
                  </m:r>
                </m:e>
              </m:acc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estat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dl</m:t>
                  </m:r>
                </m:e>
              </m:acc>
            </m:e>
          </m:nary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aggiungo e tolgo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la stessa quantità </m:t>
                  </m:r>
                </m:e>
              </m:eqArr>
            </m:lim>
          </m:limLow>
          <m:r>
            <w:rPr>
              <w:rFonts w:ascii="Cambria Math" w:hAnsi="Cambria Math"/>
            </w:rPr>
            <m:t>=</m:t>
          </m:r>
        </m:oMath>
      </m:oMathPara>
    </w:p>
    <w:p w14:paraId="25B9C724" w14:textId="579D9A28" w:rsidR="00986D8B" w:rsidRPr="00986D8B" w:rsidRDefault="001C4F5B" w:rsidP="004D61C7">
      <w:pPr>
        <w:spacing w:after="0" w:line="240" w:lineRule="auto"/>
        <w:rPr>
          <w:rFonts w:eastAsiaTheme="minorEastAsia"/>
        </w:rPr>
      </w:pPr>
      <w:r>
        <w:rPr>
          <w:rFonts w:eastAsiaTheme="minorEastAsia"/>
          <w:b/>
          <w:bCs/>
        </w:rPr>
        <w:t>Introducendo</w:t>
      </w:r>
      <w:r w:rsidR="00500E4C" w:rsidRPr="001C4F5B">
        <w:rPr>
          <w:rFonts w:eastAsiaTheme="minorEastAsia"/>
          <w:b/>
          <w:bCs/>
        </w:rPr>
        <w:t xml:space="preserve"> la grandezza “Potenziale, Tensione”: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-</m:t>
        </m:r>
        <m:nary>
          <m:naryPr>
            <m:limLoc m:val="undOvr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p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</m:nary>
        <m:r>
          <m:rPr>
            <m:sty m:val="bi"/>
          </m:rP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dl</m:t>
            </m:r>
          </m:e>
        </m:acc>
      </m:oMath>
      <w:r w:rsidRPr="001C4F5B">
        <w:rPr>
          <w:rFonts w:eastAsiaTheme="minorEastAsia"/>
          <w:b/>
          <w:bCs/>
        </w:rPr>
        <w:t xml:space="preserve"> e </w:t>
      </w:r>
      <w:r w:rsidR="00986D8B" w:rsidRPr="001C4F5B">
        <w:rPr>
          <w:rFonts w:eastAsiaTheme="minorEastAsia"/>
          <w:b/>
          <w:bCs/>
        </w:rPr>
        <w:t xml:space="preserve">ponendo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∞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</w:p>
    <w:p w14:paraId="029B3200" w14:textId="68C68517" w:rsidR="00986D8B" w:rsidRPr="00986D8B" w:rsidRDefault="00986D8B" w:rsidP="004D61C7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dl</m:t>
                      </m:r>
                    </m:e>
                  </m:acc>
                </m:e>
              </m:nary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dl</m:t>
                      </m:r>
                    </m:e>
                  </m:acc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-V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ab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ab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u</m:t>
              </m:r>
            </m:sup>
          </m:sSubSup>
        </m:oMath>
      </m:oMathPara>
    </w:p>
    <w:p w14:paraId="76B400B1" w14:textId="31C2BD07" w:rsidR="00986D8B" w:rsidRDefault="00986D8B" w:rsidP="004D61C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Perciò la tensione non è null’altro che un lavoro di una forza elettrica per unità di carica.</w:t>
      </w:r>
    </w:p>
    <w:p w14:paraId="16DA9501" w14:textId="77777777" w:rsidR="00870FE0" w:rsidRPr="00986D8B" w:rsidRDefault="00870FE0" w:rsidP="004D61C7">
      <w:pPr>
        <w:spacing w:after="0" w:line="240" w:lineRule="auto"/>
        <w:rPr>
          <w:rFonts w:eastAsiaTheme="minorEastAsia"/>
        </w:rPr>
      </w:pPr>
    </w:p>
    <w:p w14:paraId="7B818153" w14:textId="6D4ADB74" w:rsidR="00EB236F" w:rsidRPr="004B7EDC" w:rsidRDefault="001C4F5B" w:rsidP="00E63273">
      <w:pPr>
        <w:pStyle w:val="Paragrafoelenco"/>
        <w:numPr>
          <w:ilvl w:val="0"/>
          <w:numId w:val="2"/>
        </w:numPr>
        <w:spacing w:after="0" w:line="240" w:lineRule="auto"/>
        <w:rPr>
          <w:rStyle w:val="Enfasidelicata"/>
          <w:b/>
          <w:bCs/>
          <w:color w:val="FF0000"/>
        </w:rPr>
      </w:pPr>
      <w:r w:rsidRPr="004B7EDC">
        <w:rPr>
          <w:rStyle w:val="Enfasidelicata"/>
          <w:b/>
          <w:bCs/>
          <w:color w:val="FF0000"/>
        </w:rPr>
        <w:t xml:space="preserve">EQUAZIONE DI CONTINUITÀ </w:t>
      </w:r>
    </w:p>
    <w:p w14:paraId="308C5FD2" w14:textId="57813A3E" w:rsidR="00C84101" w:rsidRDefault="001C4F5B" w:rsidP="004D61C7">
      <w:pPr>
        <w:spacing w:after="0" w:line="240" w:lineRule="auto"/>
        <w:rPr>
          <w:rFonts w:eastAsiaTheme="minorEastAsia"/>
        </w:rPr>
      </w:pPr>
      <w:r>
        <w:t>Si definisca</w:t>
      </w:r>
      <w:r w:rsidR="00C84101">
        <w:t xml:space="preserve"> la densità di corrente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>.</w:t>
      </w:r>
    </w:p>
    <w:p w14:paraId="1E9D4CDF" w14:textId="27C7D007" w:rsidR="00E916A4" w:rsidRDefault="00E916A4" w:rsidP="004D61C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La</w:t>
      </w:r>
      <w:r w:rsidR="00394898">
        <w:rPr>
          <w:rFonts w:eastAsiaTheme="minorEastAsia"/>
        </w:rPr>
        <w:t xml:space="preserve"> </w:t>
      </w:r>
      <w:r w:rsidR="001C4F5B">
        <w:rPr>
          <w:rFonts w:eastAsiaTheme="minorEastAsia"/>
        </w:rPr>
        <w:t xml:space="preserve">legge di </w:t>
      </w:r>
      <w:r w:rsidR="00394898">
        <w:rPr>
          <w:rFonts w:eastAsiaTheme="minorEastAsia"/>
        </w:rPr>
        <w:t xml:space="preserve">conservazione della carica </w:t>
      </w:r>
      <w:r>
        <w:rPr>
          <w:rFonts w:eastAsiaTheme="minorEastAsia"/>
        </w:rPr>
        <w:t>dimostra come la</w:t>
      </w:r>
      <w:r w:rsidRPr="00E916A4">
        <w:rPr>
          <w:rFonts w:eastAsiaTheme="minorEastAsia"/>
        </w:rPr>
        <w:t xml:space="preserve"> variazione della carica contenuta in una qualsiasi regione dello spazio </w:t>
      </w:r>
      <w:r>
        <w:rPr>
          <w:rFonts w:eastAsiaTheme="minorEastAsia"/>
        </w:rPr>
        <w:t>sia</w:t>
      </w:r>
      <w:r w:rsidRPr="00E916A4">
        <w:rPr>
          <w:rFonts w:eastAsiaTheme="minorEastAsia"/>
        </w:rPr>
        <w:t xml:space="preserve"> dovuta al passaggio di una corrente elettrica attraverso la superficie che lo delimita</w:t>
      </w:r>
      <w:r>
        <w:rPr>
          <w:rFonts w:eastAsiaTheme="minorEastAsia"/>
        </w:rPr>
        <w:t>, in formule:</w:t>
      </w:r>
    </w:p>
    <w:p w14:paraId="3C634F63" w14:textId="139AD0AB" w:rsidR="00394898" w:rsidRPr="00E916A4" w:rsidRDefault="00394898" w:rsidP="004D61C7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dQ=-Idt⇒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dQ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=-I</m:t>
          </m:r>
        </m:oMath>
      </m:oMathPara>
    </w:p>
    <w:p w14:paraId="3543F8CD" w14:textId="58C1C31C" w:rsidR="00E916A4" w:rsidRPr="00BC2EC6" w:rsidRDefault="00E916A4" w:rsidP="004D61C7">
      <w:pPr>
        <w:spacing w:after="0" w:line="240" w:lineRule="auto"/>
        <w:rPr>
          <w:rFonts w:eastAsiaTheme="minorEastAsia"/>
        </w:rPr>
      </w:pPr>
      <w:r w:rsidRPr="00E916A4">
        <w:rPr>
          <w:rFonts w:eastAsiaTheme="minorEastAsia"/>
        </w:rPr>
        <w:t>Il segno negativo indica che se la carica elettrica totale aumenta, è entrata più corrente elettrica nella regione di quanta ne è uscita; se la carica totale è calata, viceversa.</w:t>
      </w:r>
      <w:r>
        <w:rPr>
          <w:rFonts w:eastAsiaTheme="minorEastAsia"/>
        </w:rPr>
        <w:t xml:space="preserve"> </w:t>
      </w:r>
    </w:p>
    <w:p w14:paraId="5A21A079" w14:textId="464497F3" w:rsidR="00BC2EC6" w:rsidRDefault="00E916A4" w:rsidP="004D61C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Essendo</w:t>
      </w:r>
      <w:r w:rsidR="00BC2EC6">
        <w:rPr>
          <w:rFonts w:eastAsiaTheme="minorEastAsia"/>
        </w:rPr>
        <w:t xml:space="preserve"> la carica </w:t>
      </w:r>
      <m:oMath>
        <m:r>
          <w:rPr>
            <w:rFonts w:ascii="Cambria Math" w:eastAsiaTheme="minorEastAsia" w:hAnsi="Cambria Math"/>
          </w:rPr>
          <m:t>Q=</m:t>
        </m:r>
        <m:nary>
          <m:naryPr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τ</m:t>
            </m:r>
          </m:sub>
          <m:sup/>
          <m:e>
            <m:r>
              <w:rPr>
                <w:rFonts w:ascii="Cambria Math" w:eastAsiaTheme="minorEastAsia" w:hAnsi="Cambria Math"/>
              </w:rPr>
              <m:t>ρdτ</m:t>
            </m:r>
          </m:e>
        </m:nary>
      </m:oMath>
      <w:r w:rsidR="003E4A73">
        <w:rPr>
          <w:rFonts w:eastAsiaTheme="minorEastAsia"/>
        </w:rPr>
        <w:t xml:space="preserve"> </w:t>
      </w:r>
      <w:r w:rsidR="00BC2EC6">
        <w:rPr>
          <w:rFonts w:eastAsiaTheme="minorEastAsia"/>
        </w:rPr>
        <w:t xml:space="preserve">e la corrente </w:t>
      </w:r>
      <m:oMath>
        <m:r>
          <w:rPr>
            <w:rFonts w:ascii="Cambria Math" w:eastAsiaTheme="minorEastAsia" w:hAnsi="Cambria Math"/>
          </w:rPr>
          <m:t>I=</m:t>
        </m:r>
        <m:nary>
          <m:naryPr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</m:t>
            </m:r>
          </m:sub>
          <m:sup/>
          <m:e>
            <m:r>
              <w:rPr>
                <w:rFonts w:ascii="Cambria Math" w:eastAsiaTheme="minorEastAsia" w:hAnsi="Cambria Math"/>
              </w:rPr>
              <m:t>J∙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  <m:r>
              <w:rPr>
                <w:rFonts w:ascii="Cambria Math" w:eastAsiaTheme="minorEastAsia" w:hAnsi="Cambria Math"/>
              </w:rPr>
              <m:t>dS</m:t>
            </m:r>
          </m:e>
        </m:nary>
      </m:oMath>
      <w:r w:rsidR="003E4A73">
        <w:rPr>
          <w:rFonts w:eastAsiaTheme="minorEastAsia"/>
        </w:rPr>
        <w:t xml:space="preserve">, queste </w:t>
      </w:r>
      <w:r>
        <w:rPr>
          <w:rFonts w:eastAsiaTheme="minorEastAsia"/>
        </w:rPr>
        <w:t>sostituite nell’equazione appena vista</w:t>
      </w:r>
      <w:r w:rsidR="003E4A73">
        <w:rPr>
          <w:rFonts w:eastAsiaTheme="minorEastAsia"/>
        </w:rPr>
        <w:t xml:space="preserve"> portano all’equazione di </w:t>
      </w:r>
      <w:r w:rsidR="00311335">
        <w:rPr>
          <w:rFonts w:eastAsiaTheme="minorEastAsia"/>
        </w:rPr>
        <w:t>continuità</w:t>
      </w:r>
      <w:r w:rsidR="007E6002">
        <w:rPr>
          <w:rFonts w:eastAsiaTheme="minorEastAsia"/>
        </w:rPr>
        <w:t>:</w:t>
      </w:r>
    </w:p>
    <w:p w14:paraId="55B0C90F" w14:textId="103D6B82" w:rsidR="003E4A73" w:rsidRPr="003E4A73" w:rsidRDefault="00000000" w:rsidP="004D61C7">
      <w:pPr>
        <w:spacing w:after="0" w:line="240" w:lineRule="auto"/>
        <w:rPr>
          <w:rFonts w:eastAsiaTheme="minorEastAsia"/>
        </w:rPr>
      </w:pPr>
      <m:oMathPara>
        <m:oMath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J∙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</m:oMath>
      </m:oMathPara>
    </w:p>
    <w:p w14:paraId="4600CF28" w14:textId="76EA296C" w:rsidR="003E4A73" w:rsidRPr="003E4A73" w:rsidRDefault="00000000" w:rsidP="004D61C7">
      <w:pPr>
        <w:spacing w:after="0" w:line="240" w:lineRule="auto"/>
        <w:rPr>
          <w:rFonts w:eastAsiaTheme="minorEastAsia"/>
        </w:rPr>
      </w:pPr>
      <m:oMathPara>
        <m:oMath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∙Jdτ</m:t>
              </m:r>
            </m:e>
          </m:nary>
        </m:oMath>
      </m:oMathPara>
    </w:p>
    <w:p w14:paraId="1F521F17" w14:textId="6832A784" w:rsidR="003E4A73" w:rsidRPr="00BE2934" w:rsidRDefault="003E4A73" w:rsidP="004D61C7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∂ρ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∙J</m:t>
          </m:r>
        </m:oMath>
      </m:oMathPara>
    </w:p>
    <w:p w14:paraId="7A51612B" w14:textId="5A930A93" w:rsidR="00BE2934" w:rsidRDefault="00BE2934" w:rsidP="004D61C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In caso di densità di corrente J stazionaria, sono all’opera forza non conservative, va fornita cioè una fonte di energia, altrimenti la corrente non scorrerebbe: siamo nel caso di un circuito chiuso.</w:t>
      </w:r>
    </w:p>
    <w:p w14:paraId="5609809E" w14:textId="77777777" w:rsidR="00870FE0" w:rsidRPr="003E4A73" w:rsidRDefault="00870FE0" w:rsidP="004D61C7">
      <w:pPr>
        <w:spacing w:after="0" w:line="240" w:lineRule="auto"/>
        <w:rPr>
          <w:rFonts w:eastAsiaTheme="minorEastAsia"/>
        </w:rPr>
      </w:pPr>
    </w:p>
    <w:p w14:paraId="1C7AE192" w14:textId="322E919E" w:rsidR="00655324" w:rsidRPr="004B7EDC" w:rsidRDefault="001C4F5B" w:rsidP="00E63273">
      <w:pPr>
        <w:pStyle w:val="Paragrafoelenco"/>
        <w:numPr>
          <w:ilvl w:val="0"/>
          <w:numId w:val="2"/>
        </w:numPr>
        <w:spacing w:after="0" w:line="240" w:lineRule="auto"/>
        <w:rPr>
          <w:rStyle w:val="Enfasicorsivo"/>
          <w:b/>
          <w:bCs/>
          <w:color w:val="FF0000"/>
        </w:rPr>
      </w:pPr>
      <w:r w:rsidRPr="004B7EDC">
        <w:rPr>
          <w:rStyle w:val="Enfasicorsivo"/>
          <w:b/>
          <w:bCs/>
          <w:color w:val="FF0000"/>
        </w:rPr>
        <w:t>EQUAZIONI DI MAXWELL NEL VUOTO</w:t>
      </w:r>
    </w:p>
    <w:p w14:paraId="150E66D8" w14:textId="77777777" w:rsidR="00065BD7" w:rsidRDefault="00065BD7" w:rsidP="004D61C7">
      <w:pPr>
        <w:spacing w:after="0" w:line="240" w:lineRule="auto"/>
        <w:rPr>
          <w:rFonts w:ascii="Cambria Math" w:hAnsi="Cambria Math"/>
          <w:oMath/>
        </w:rPr>
        <w:sectPr w:rsidR="00065BD7" w:rsidSect="00C9463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8E7F65D" w14:textId="77AE76D1" w:rsidR="00065BD7" w:rsidRPr="00065BD7" w:rsidRDefault="00065BD7" w:rsidP="004D61C7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I. 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B1135BF" w14:textId="2E63E4C9" w:rsidR="00065BD7" w:rsidRPr="00065BD7" w:rsidRDefault="00065BD7" w:rsidP="004D61C7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II. 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688A61FC" w14:textId="77777777" w:rsidR="00870FE0" w:rsidRDefault="00870FE0" w:rsidP="004D61C7">
      <w:pPr>
        <w:spacing w:after="0" w:line="240" w:lineRule="auto"/>
        <w:rPr>
          <w:rFonts w:eastAsiaTheme="minorEastAsia"/>
        </w:rPr>
      </w:pPr>
    </w:p>
    <w:p w14:paraId="20FB0C81" w14:textId="77777777" w:rsidR="00870FE0" w:rsidRDefault="00870FE0" w:rsidP="004D61C7">
      <w:pPr>
        <w:spacing w:after="0" w:line="240" w:lineRule="auto"/>
        <w:rPr>
          <w:rFonts w:eastAsiaTheme="minorEastAsia"/>
        </w:rPr>
      </w:pPr>
    </w:p>
    <w:p w14:paraId="653E0B02" w14:textId="5A1B7772" w:rsidR="00870FE0" w:rsidRPr="00065BD7" w:rsidRDefault="00065BD7" w:rsidP="004D61C7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III. 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3E779E7D" w14:textId="0D211026" w:rsidR="00065BD7" w:rsidRDefault="00065BD7" w:rsidP="004D61C7">
      <w:pPr>
        <w:spacing w:after="0" w:line="240" w:lineRule="auto"/>
      </w:pPr>
      <m:oMathPara>
        <m:oMath>
          <m:r>
            <w:rPr>
              <w:rFonts w:ascii="Cambria Math" w:hAnsi="Cambria Math"/>
            </w:rPr>
            <m:t xml:space="preserve">IV. 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</m:oMath>
      </m:oMathPara>
    </w:p>
    <w:p w14:paraId="36770A4D" w14:textId="77777777" w:rsidR="00FC104D" w:rsidRDefault="00FC104D" w:rsidP="004D61C7">
      <w:pPr>
        <w:spacing w:after="0" w:line="240" w:lineRule="auto"/>
      </w:pPr>
    </w:p>
    <w:p w14:paraId="648C2530" w14:textId="6AC22E4C" w:rsidR="00870FE0" w:rsidRDefault="00870FE0" w:rsidP="004D61C7">
      <w:pPr>
        <w:spacing w:after="0" w:line="240" w:lineRule="auto"/>
        <w:sectPr w:rsidR="00870FE0" w:rsidSect="00C9463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3A7C3E0" w14:textId="349F7282" w:rsidR="00FC104D" w:rsidRPr="004B7EDC" w:rsidRDefault="00E63273" w:rsidP="00E63273">
      <w:pPr>
        <w:pStyle w:val="Paragrafoelenco"/>
        <w:numPr>
          <w:ilvl w:val="0"/>
          <w:numId w:val="2"/>
        </w:numPr>
        <w:spacing w:after="0" w:line="240" w:lineRule="auto"/>
        <w:rPr>
          <w:rStyle w:val="Enfasicorsivo"/>
          <w:b/>
          <w:bCs/>
          <w:color w:val="FF0000"/>
        </w:rPr>
        <w:sectPr w:rsidR="00FC104D" w:rsidRPr="004B7EDC" w:rsidSect="00C9463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4B7EDC">
        <w:rPr>
          <w:rStyle w:val="Enfasicorsivo"/>
          <w:b/>
          <w:bCs/>
          <w:color w:val="FF0000"/>
        </w:rPr>
        <w:t>EQUAZIONI</w:t>
      </w:r>
      <w:r w:rsidR="00870FE0" w:rsidRPr="004B7EDC">
        <w:rPr>
          <w:rStyle w:val="Enfasicorsivo"/>
          <w:b/>
          <w:bCs/>
          <w:color w:val="FF0000"/>
        </w:rPr>
        <w:t xml:space="preserve"> DI MAXWELL IN PRESENZA DI MATERIALE</w:t>
      </w:r>
    </w:p>
    <w:p w14:paraId="76D2E461" w14:textId="77777777" w:rsidR="00870FE0" w:rsidRDefault="00870FE0" w:rsidP="004D61C7">
      <w:pPr>
        <w:spacing w:after="0" w:line="240" w:lineRule="auto"/>
      </w:pPr>
    </w:p>
    <w:p w14:paraId="3DD3C548" w14:textId="531C7308" w:rsidR="00FC104D" w:rsidRPr="00FC104D" w:rsidRDefault="00FC104D" w:rsidP="004D61C7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I. 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=ρ</m:t>
          </m:r>
        </m:oMath>
      </m:oMathPara>
    </w:p>
    <w:p w14:paraId="6CD52366" w14:textId="77777777" w:rsidR="00FC104D" w:rsidRPr="00065BD7" w:rsidRDefault="00FC104D" w:rsidP="004D61C7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II. 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47BBEDAD" w14:textId="77777777" w:rsidR="00FC104D" w:rsidRPr="00065BD7" w:rsidRDefault="00FC104D" w:rsidP="004D61C7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III. 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0F99D5CD" w14:textId="6504B675" w:rsidR="00FC104D" w:rsidRDefault="00FC104D" w:rsidP="004D61C7">
      <w:pPr>
        <w:spacing w:after="0" w:line="240" w:lineRule="auto"/>
      </w:pPr>
      <m:oMathPara>
        <m:oMath>
          <m:r>
            <w:rPr>
              <w:rFonts w:ascii="Cambria Math" w:hAnsi="Cambria Math"/>
            </w:rPr>
            <m:t xml:space="preserve">IV. 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761237DF" w14:textId="77777777" w:rsidR="00FC104D" w:rsidRDefault="00FC104D" w:rsidP="004D61C7">
      <w:pPr>
        <w:spacing w:after="0" w:line="240" w:lineRule="auto"/>
        <w:sectPr w:rsidR="00FC104D" w:rsidSect="00C9463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13656880" w14:textId="77777777" w:rsidR="006D2C85" w:rsidRPr="00C9463D" w:rsidRDefault="006D2C85" w:rsidP="004D61C7">
      <w:pPr>
        <w:spacing w:after="0" w:line="240" w:lineRule="auto"/>
      </w:pPr>
    </w:p>
    <w:sectPr w:rsidR="006D2C85" w:rsidRPr="00C9463D" w:rsidSect="00C9463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6B0"/>
    <w:multiLevelType w:val="hybridMultilevel"/>
    <w:tmpl w:val="84009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82A7E"/>
    <w:multiLevelType w:val="hybridMultilevel"/>
    <w:tmpl w:val="EB1667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273274">
    <w:abstractNumId w:val="1"/>
  </w:num>
  <w:num w:numId="2" w16cid:durableId="58912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B0E7B"/>
    <w:rsid w:val="00065BD7"/>
    <w:rsid w:val="001C4F5B"/>
    <w:rsid w:val="002B0E7B"/>
    <w:rsid w:val="00311335"/>
    <w:rsid w:val="00394898"/>
    <w:rsid w:val="003E4A73"/>
    <w:rsid w:val="004B7EDC"/>
    <w:rsid w:val="004D61C7"/>
    <w:rsid w:val="00500E4C"/>
    <w:rsid w:val="00655324"/>
    <w:rsid w:val="006D2C85"/>
    <w:rsid w:val="007E6002"/>
    <w:rsid w:val="00870FE0"/>
    <w:rsid w:val="00986D8B"/>
    <w:rsid w:val="00B371B0"/>
    <w:rsid w:val="00BC2EC6"/>
    <w:rsid w:val="00BE2934"/>
    <w:rsid w:val="00C84101"/>
    <w:rsid w:val="00C9463D"/>
    <w:rsid w:val="00CE11F8"/>
    <w:rsid w:val="00D10FAB"/>
    <w:rsid w:val="00E63273"/>
    <w:rsid w:val="00E916A4"/>
    <w:rsid w:val="00EB236F"/>
    <w:rsid w:val="00EB2F1D"/>
    <w:rsid w:val="00F32533"/>
    <w:rsid w:val="00FC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ECAE"/>
  <w15:chartTrackingRefBased/>
  <w15:docId w15:val="{75DAE8A4-4E24-49A6-A484-6D19E936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065BD7"/>
    <w:rPr>
      <w:color w:val="808080"/>
    </w:rPr>
  </w:style>
  <w:style w:type="paragraph" w:styleId="Paragrafoelenco">
    <w:name w:val="List Paragraph"/>
    <w:basedOn w:val="Normale"/>
    <w:uiPriority w:val="34"/>
    <w:qFormat/>
    <w:rsid w:val="006D2C85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C946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94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fasidelicata">
    <w:name w:val="Subtle Emphasis"/>
    <w:basedOn w:val="Carpredefinitoparagrafo"/>
    <w:uiPriority w:val="19"/>
    <w:qFormat/>
    <w:rsid w:val="004B7EDC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4B7E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Marchegiani</dc:creator>
  <cp:keywords/>
  <dc:description/>
  <cp:lastModifiedBy>Andrea Marchegiani</cp:lastModifiedBy>
  <cp:revision>12</cp:revision>
  <dcterms:created xsi:type="dcterms:W3CDTF">2022-04-14T19:26:00Z</dcterms:created>
  <dcterms:modified xsi:type="dcterms:W3CDTF">2022-07-21T21:38:00Z</dcterms:modified>
</cp:coreProperties>
</file>