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E3A5F"/>
          <w:sz w:val="56"/>
        </w:rPr>
        <w:t>AFARENSIS ENTERPRISE</w:t>
      </w:r>
    </w:p>
    <w:p>
      <w:pPr>
        <w:jc w:val="center"/>
      </w:pPr>
      <w:r>
        <w:rPr>
          <w:rFonts w:ascii="Calibri" w:hAnsi="Calibri"/>
          <w:color w:val="1E3A5F"/>
          <w:sz w:val="40"/>
        </w:rPr>
        <w:t>Annotated Example Report</w:t>
      </w:r>
    </w:p>
    <w:p>
      <w:pPr>
        <w:jc w:val="center"/>
      </w:pPr>
      <w:r>
        <w:rPr>
          <w:rFonts w:ascii="Calibri" w:hAnsi="Calibri"/>
          <w:color w:val="2563EB"/>
          <w:sz w:val="28"/>
        </w:rPr>
        <w:t>Understanding Generated SAR/CSR Output</w:t>
      </w:r>
    </w:p>
    <w:p/>
    <w:p>
      <w:pPr>
        <w:jc w:val="center"/>
      </w:pPr>
      <w:r>
        <w:rPr>
          <w:rFonts w:ascii="Calibri" w:hAnsi="Calibri"/>
          <w:color w:val="666666"/>
          <w:sz w:val="22"/>
        </w:rPr>
        <w:t>Version v2.1  |  March 23, 2026</w:t>
      </w:r>
    </w:p>
    <w:p>
      <w:pPr>
        <w:jc w:val="center"/>
      </w:pPr>
      <w:r>
        <w:rPr>
          <w:rFonts w:ascii="Calibri" w:hAnsi="Calibri"/>
          <w:color w:val="666666"/>
          <w:sz w:val="22"/>
        </w:rPr>
        <w:t>Synthetic Ascension Pty Ltd</w:t>
      </w:r>
    </w:p>
    <w:p>
      <w:r>
        <w:br w:type="page"/>
      </w:r>
    </w:p>
    <w:p>
      <w:pPr>
        <w:pStyle w:val="Heading1"/>
      </w:pPr>
      <w:r>
        <w:rPr>
          <w:rFonts w:ascii="Calibri" w:hAnsi="Calibri"/>
          <w:color w:val="1E3A5F"/>
        </w:rPr>
        <w:t>About This Document</w:t>
      </w:r>
    </w:p>
    <w:p>
      <w:r>
        <w:rPr>
          <w:rFonts w:ascii="Calibri" w:hAnsi="Calibri"/>
          <w:b w:val="0"/>
          <w:i w:val="0"/>
          <w:sz w:val="22"/>
        </w:rPr>
        <w:t>This document walks through an example generated Study Analysis Report (SAR) / Clinical Study Report (CSR), with annotated callout boxes explaining why each section exists, what regulatory reviewers look for, and how Afarensis populates the content.</w:t>
      </w:r>
    </w:p>
    <w:p>
      <w:pPr>
        <w:pStyle w:val="Heading1"/>
      </w:pPr>
      <w:r>
        <w:rPr>
          <w:rFonts w:ascii="Calibri" w:hAnsi="Calibri"/>
          <w:color w:val="1E3A5F"/>
        </w:rPr>
        <w:t>1. Title Page</w:t>
      </w:r>
    </w:p>
    <w:p>
      <w:r>
        <w:rPr>
          <w:rFonts w:ascii="Calibri" w:hAnsi="Calibri"/>
          <w:b w:val="0"/>
          <w:i w:val="0"/>
          <w:sz w:val="22"/>
        </w:rPr>
        <w:t>The title page of a CSR contains the study identification metadata required by ICH E3.</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E3A5F"/>
          </w:tcPr>
          <w:p>
            <w:r>
              <w:rPr>
                <w:rFonts w:ascii="Calibri" w:hAnsi="Calibri"/>
                <w:b/>
                <w:color w:val="FFFFFF"/>
                <w:sz w:val="20"/>
              </w:rPr>
              <w:t>Field</w:t>
            </w:r>
          </w:p>
        </w:tc>
        <w:tc>
          <w:tcPr>
            <w:tcW w:type="dxa" w:w="2880"/>
            <w:shd w:fill="1E3A5F"/>
          </w:tcPr>
          <w:p>
            <w:r>
              <w:rPr>
                <w:rFonts w:ascii="Calibri" w:hAnsi="Calibri"/>
                <w:b/>
                <w:color w:val="FFFFFF"/>
                <w:sz w:val="20"/>
              </w:rPr>
              <w:t>Example Value</w:t>
            </w:r>
          </w:p>
        </w:tc>
        <w:tc>
          <w:tcPr>
            <w:tcW w:type="dxa" w:w="2880"/>
            <w:shd w:fill="1E3A5F"/>
          </w:tcPr>
          <w:p>
            <w:r>
              <w:rPr>
                <w:rFonts w:ascii="Calibri" w:hAnsi="Calibri"/>
                <w:b/>
                <w:color w:val="FFFFFF"/>
                <w:sz w:val="20"/>
              </w:rPr>
              <w:t>Purpose</w:t>
            </w:r>
          </w:p>
        </w:tc>
      </w:tr>
      <w:tr>
        <w:tc>
          <w:tcPr>
            <w:tcW w:type="dxa" w:w="2880"/>
          </w:tcPr>
          <w:p>
            <w:r>
              <w:rPr>
                <w:rFonts w:ascii="Calibri" w:hAnsi="Calibri"/>
                <w:sz w:val="18"/>
              </w:rPr>
              <w:t>Study ID</w:t>
            </w:r>
          </w:p>
        </w:tc>
        <w:tc>
          <w:tcPr>
            <w:tcW w:type="dxa" w:w="2880"/>
          </w:tcPr>
          <w:p>
            <w:r>
              <w:rPr>
                <w:rFonts w:ascii="Calibri" w:hAnsi="Calibri"/>
                <w:sz w:val="18"/>
              </w:rPr>
              <w:t>XY-301-2024</w:t>
            </w:r>
          </w:p>
        </w:tc>
        <w:tc>
          <w:tcPr>
            <w:tcW w:type="dxa" w:w="2880"/>
          </w:tcPr>
          <w:p>
            <w:r>
              <w:rPr>
                <w:rFonts w:ascii="Calibri" w:hAnsi="Calibri"/>
                <w:sz w:val="18"/>
              </w:rPr>
              <w:t>Unique identifier; matches registry entries</w:t>
            </w:r>
          </w:p>
        </w:tc>
      </w:tr>
      <w:tr>
        <w:tc>
          <w:tcPr>
            <w:tcW w:type="dxa" w:w="2880"/>
            <w:shd w:fill="F0F4FA"/>
          </w:tcPr>
          <w:p>
            <w:r>
              <w:rPr>
                <w:rFonts w:ascii="Calibri" w:hAnsi="Calibri"/>
                <w:sz w:val="18"/>
              </w:rPr>
              <w:t>Protocol Version</w:t>
            </w:r>
          </w:p>
        </w:tc>
        <w:tc>
          <w:tcPr>
            <w:tcW w:type="dxa" w:w="2880"/>
            <w:shd w:fill="F0F4FA"/>
          </w:tcPr>
          <w:p>
            <w:r>
              <w:rPr>
                <w:rFonts w:ascii="Calibri" w:hAnsi="Calibri"/>
                <w:sz w:val="18"/>
              </w:rPr>
              <w:t>3.0 (Amendment 2)</w:t>
            </w:r>
          </w:p>
        </w:tc>
        <w:tc>
          <w:tcPr>
            <w:tcW w:type="dxa" w:w="2880"/>
            <w:shd w:fill="F0F4FA"/>
          </w:tcPr>
          <w:p>
            <w:r>
              <w:rPr>
                <w:rFonts w:ascii="Calibri" w:hAnsi="Calibri"/>
                <w:sz w:val="18"/>
              </w:rPr>
              <w:t>Tracks which protocol version was executed</w:t>
            </w:r>
          </w:p>
        </w:tc>
      </w:tr>
      <w:tr>
        <w:tc>
          <w:tcPr>
            <w:tcW w:type="dxa" w:w="2880"/>
          </w:tcPr>
          <w:p>
            <w:r>
              <w:rPr>
                <w:rFonts w:ascii="Calibri" w:hAnsi="Calibri"/>
                <w:sz w:val="18"/>
              </w:rPr>
              <w:t>Report Date</w:t>
            </w:r>
          </w:p>
        </w:tc>
        <w:tc>
          <w:tcPr>
            <w:tcW w:type="dxa" w:w="2880"/>
          </w:tcPr>
          <w:p>
            <w:r>
              <w:rPr>
                <w:rFonts w:ascii="Calibri" w:hAnsi="Calibri"/>
                <w:sz w:val="18"/>
              </w:rPr>
              <w:t>March 2026</w:t>
            </w:r>
          </w:p>
        </w:tc>
        <w:tc>
          <w:tcPr>
            <w:tcW w:type="dxa" w:w="2880"/>
          </w:tcPr>
          <w:p>
            <w:r>
              <w:rPr>
                <w:rFonts w:ascii="Calibri" w:hAnsi="Calibri"/>
                <w:sz w:val="18"/>
              </w:rPr>
              <w:t>Date of report finalization</w:t>
            </w:r>
          </w:p>
        </w:tc>
      </w:tr>
      <w:tr>
        <w:tc>
          <w:tcPr>
            <w:tcW w:type="dxa" w:w="2880"/>
            <w:shd w:fill="F0F4FA"/>
          </w:tcPr>
          <w:p>
            <w:r>
              <w:rPr>
                <w:rFonts w:ascii="Calibri" w:hAnsi="Calibri"/>
                <w:sz w:val="18"/>
              </w:rPr>
              <w:t>Sponsor</w:t>
            </w:r>
          </w:p>
        </w:tc>
        <w:tc>
          <w:tcPr>
            <w:tcW w:type="dxa" w:w="2880"/>
            <w:shd w:fill="F0F4FA"/>
          </w:tcPr>
          <w:p>
            <w:r>
              <w:rPr>
                <w:rFonts w:ascii="Calibri" w:hAnsi="Calibri"/>
                <w:sz w:val="18"/>
              </w:rPr>
              <w:t>Synthetic Ascension Pty Ltd</w:t>
            </w:r>
          </w:p>
        </w:tc>
        <w:tc>
          <w:tcPr>
            <w:tcW w:type="dxa" w:w="2880"/>
            <w:shd w:fill="F0F4FA"/>
          </w:tcPr>
          <w:p>
            <w:r>
              <w:rPr>
                <w:rFonts w:ascii="Calibri" w:hAnsi="Calibri"/>
                <w:sz w:val="18"/>
              </w:rPr>
              <w:t>Legal entity responsible for the study</w:t>
            </w:r>
          </w:p>
        </w:tc>
      </w:tr>
      <w:tr>
        <w:tc>
          <w:tcPr>
            <w:tcW w:type="dxa" w:w="2880"/>
          </w:tcPr>
          <w:p>
            <w:r>
              <w:rPr>
                <w:rFonts w:ascii="Calibri" w:hAnsi="Calibri"/>
                <w:sz w:val="18"/>
              </w:rPr>
              <w:t>Regulatory Submission</w:t>
            </w:r>
          </w:p>
        </w:tc>
        <w:tc>
          <w:tcPr>
            <w:tcW w:type="dxa" w:w="2880"/>
          </w:tcPr>
          <w:p>
            <w:r>
              <w:rPr>
                <w:rFonts w:ascii="Calibri" w:hAnsi="Calibri"/>
                <w:sz w:val="18"/>
              </w:rPr>
              <w:t>NDA 123456</w:t>
            </w:r>
          </w:p>
        </w:tc>
        <w:tc>
          <w:tcPr>
            <w:tcW w:type="dxa" w:w="2880"/>
          </w:tcPr>
          <w:p>
            <w:r>
              <w:rPr>
                <w:rFonts w:ascii="Calibri" w:hAnsi="Calibri"/>
                <w:sz w:val="18"/>
              </w:rPr>
              <w:t>Links to the broader submission dossier</w:t>
            </w:r>
          </w:p>
        </w:tc>
      </w:tr>
    </w:tbl>
    <w:p/>
    <w:p>
      <w:pPr>
        <w:pBdr>
          <w:left w:val="single" w:sz="12" w:space="8" w:color="2563EB"/>
          <w:top w:val="single" w:sz="4" w:space="2" w:color="CCCCCC"/>
          <w:bottom w:val="single" w:sz="4" w:space="2" w:color="CCCCCC"/>
          <w:right w:val="single" w:sz="4" w:space="2" w:color="CCCCCC"/>
        </w:pBdr>
        <w:shd w:fill="F0F7FF"/>
      </w:pPr>
      <w:r>
        <w:rPr>
          <w:rFonts w:ascii="Calibri" w:hAnsi="Calibri"/>
          <w:b/>
          <w:color w:val="2563EB"/>
          <w:sz w:val="20"/>
        </w:rPr>
        <w:t xml:space="preserve">[Why This Matters] </w:t>
      </w:r>
      <w:r>
        <w:rPr>
          <w:rFonts w:ascii="Calibri" w:hAnsi="Calibri"/>
          <w:sz w:val="20"/>
        </w:rPr>
        <w:t>FDA reviewers use the Study ID to cross-reference the CSR with the Study Tagging File in the eCTD. The protocol version confirms which study conduct rules were followed. Discrepancies between the title page and eCTD metadata trigger review queries.</w:t>
      </w:r>
    </w:p>
    <w:p>
      <w:pPr>
        <w:pStyle w:val="Heading1"/>
      </w:pPr>
      <w:r>
        <w:rPr>
          <w:rFonts w:ascii="Calibri" w:hAnsi="Calibri"/>
          <w:color w:val="1E3A5F"/>
        </w:rPr>
        <w:t>2. Synopsis</w:t>
      </w:r>
    </w:p>
    <w:p>
      <w:r>
        <w:rPr>
          <w:rFonts w:ascii="Calibri" w:hAnsi="Calibri"/>
          <w:b w:val="0"/>
          <w:i w:val="0"/>
          <w:sz w:val="22"/>
        </w:rPr>
        <w:t>The synopsis is a 1-2 page self-contained summary of the entire study. It must include: study objectives, design, key eligibility criteria, treatment arms, primary and key secondary endpoints, statistical methods, and top-line results.</w:t>
      </w:r>
    </w:p>
    <w:p>
      <w:pPr>
        <w:pBdr>
          <w:left w:val="single" w:sz="12" w:space="8" w:color="2563EB"/>
          <w:top w:val="single" w:sz="4" w:space="2" w:color="CCCCCC"/>
          <w:bottom w:val="single" w:sz="4" w:space="2" w:color="CCCCCC"/>
          <w:right w:val="single" w:sz="4" w:space="2" w:color="CCCCCC"/>
        </w:pBdr>
        <w:shd w:fill="F0F7FF"/>
      </w:pPr>
      <w:r>
        <w:rPr>
          <w:rFonts w:ascii="Calibri" w:hAnsi="Calibri"/>
          <w:b/>
          <w:color w:val="2563EB"/>
          <w:sz w:val="20"/>
        </w:rPr>
        <w:t xml:space="preserve">[Regulatory Significance] </w:t>
      </w:r>
      <w:r>
        <w:rPr>
          <w:rFonts w:ascii="Calibri" w:hAnsi="Calibri"/>
          <w:sz w:val="20"/>
        </w:rPr>
        <w:t>FDA and EMA reviewers read the synopsis first to decide whether a full review is warranted. The synopsis must stand alone without requiring reference to other sections. Every number in the synopsis must match the corresponding number in the body of the report.</w:t>
      </w:r>
    </w:p>
    <w:p>
      <w:pPr>
        <w:pStyle w:val="Heading1"/>
      </w:pPr>
      <w:r>
        <w:rPr>
          <w:rFonts w:ascii="Calibri" w:hAnsi="Calibri"/>
          <w:color w:val="1E3A5F"/>
        </w:rPr>
        <w:t>3. Section 11: Efficacy Evaluation</w:t>
      </w:r>
    </w:p>
    <w:p>
      <w:r>
        <w:rPr>
          <w:rFonts w:ascii="Calibri" w:hAnsi="Calibri"/>
          <w:b w:val="0"/>
          <w:i w:val="0"/>
          <w:sz w:val="22"/>
        </w:rPr>
        <w:t>Section 11 presents the primary efficacy analysis and all pre-specified secondary and sensitivity analyses.</w:t>
      </w:r>
    </w:p>
    <w:p>
      <w:pPr>
        <w:pStyle w:val="Heading2"/>
      </w:pPr>
      <w:r>
        <w:rPr>
          <w:rFonts w:ascii="Calibri" w:hAnsi="Calibri"/>
          <w:color w:val="1E3A5F"/>
        </w:rPr>
        <w:t>3.1 Primary Analysis (Cox PH)</w:t>
      </w:r>
    </w:p>
    <w:p>
      <w:r>
        <w:rPr>
          <w:rFonts w:ascii="Calibri" w:hAnsi="Calibri"/>
          <w:b w:val="0"/>
          <w:i w:val="0"/>
          <w:sz w:val="22"/>
        </w:rPr>
        <w:t>The primary result is presented as a Hazard Ratio with 95% confidence interval and two-sided p-value. Example: HR = 0.72 (95% CI: 0.58-0.89), p = 0.003.</w:t>
      </w:r>
    </w:p>
    <w:p>
      <w:pPr>
        <w:pBdr>
          <w:left w:val="single" w:sz="12" w:space="8" w:color="2563EB"/>
          <w:top w:val="single" w:sz="4" w:space="2" w:color="CCCCCC"/>
          <w:bottom w:val="single" w:sz="4" w:space="2" w:color="CCCCCC"/>
          <w:right w:val="single" w:sz="4" w:space="2" w:color="CCCCCC"/>
        </w:pBdr>
        <w:shd w:fill="F0F7FF"/>
      </w:pPr>
      <w:r>
        <w:rPr>
          <w:rFonts w:ascii="Calibri" w:hAnsi="Calibri"/>
          <w:b/>
          <w:color w:val="2563EB"/>
          <w:sz w:val="20"/>
        </w:rPr>
        <w:t xml:space="preserve">[Interpretation] </w:t>
      </w:r>
      <w:r>
        <w:rPr>
          <w:rFonts w:ascii="Calibri" w:hAnsi="Calibri"/>
          <w:sz w:val="20"/>
        </w:rPr>
        <w:t>A hazard ratio of 0.72 means the treatment arm has a 28% lower instantaneous risk of the event compared to the comparator at any given time point, assuming proportional hazards hold. The confidence interval excludes 1.0, and the p-value is below the pre-specified alpha of 0.05, indicating statistical significance.</w:t>
      </w:r>
    </w:p>
    <w:p>
      <w:pPr>
        <w:pStyle w:val="Heading2"/>
      </w:pPr>
      <w:r>
        <w:rPr>
          <w:rFonts w:ascii="Calibri" w:hAnsi="Calibri"/>
          <w:color w:val="1E3A5F"/>
        </w:rPr>
        <w:t>3.2 Forest Plot</w:t>
      </w:r>
    </w:p>
    <w:p>
      <w:r>
        <w:rPr>
          <w:rFonts w:ascii="Calibri" w:hAnsi="Calibri"/>
          <w:b w:val="0"/>
          <w:i w:val="0"/>
          <w:sz w:val="22"/>
        </w:rPr>
        <w:t>The forest plot shows subgroup analyses and sensitivity analyses alongside the primary result.</w:t>
      </w:r>
    </w:p>
    <w:p>
      <w:pPr>
        <w:pBdr>
          <w:left w:val="single" w:sz="12" w:space="8" w:color="2563EB"/>
          <w:top w:val="single" w:sz="4" w:space="2" w:color="CCCCCC"/>
          <w:bottom w:val="single" w:sz="4" w:space="2" w:color="CCCCCC"/>
          <w:right w:val="single" w:sz="4" w:space="2" w:color="CCCCCC"/>
        </w:pBdr>
        <w:shd w:fill="F0F7FF"/>
      </w:pPr>
      <w:r>
        <w:rPr>
          <w:rFonts w:ascii="Calibri" w:hAnsi="Calibri"/>
          <w:b/>
          <w:color w:val="2563EB"/>
          <w:sz w:val="20"/>
        </w:rPr>
        <w:t xml:space="preserve">[How to Read a Forest Plot] </w:t>
      </w:r>
      <w:r>
        <w:rPr>
          <w:rFonts w:ascii="Calibri" w:hAnsi="Calibri"/>
          <w:sz w:val="20"/>
        </w:rPr>
        <w:t>Diamond = overall summary estimate; its width spans the confidence interval. Squares = individual subgroup or analysis estimates; larger squares indicate greater weight. Horizontal lines = confidence intervals for each estimate. Vertical dashed line at HR=1.0 = null effect (no difference between arms). Estimates to the left of the line favor treatment; to the right favor comparator.</w:t>
      </w:r>
    </w:p>
    <w:p>
      <w:pPr>
        <w:pStyle w:val="Heading2"/>
      </w:pPr>
      <w:r>
        <w:rPr>
          <w:rFonts w:ascii="Calibri" w:hAnsi="Calibri"/>
          <w:color w:val="1E3A5F"/>
        </w:rPr>
        <w:t>3.3 Multiplicity Adjustment</w:t>
      </w:r>
    </w:p>
    <w:p>
      <w:r>
        <w:rPr>
          <w:rFonts w:ascii="Calibri" w:hAnsi="Calibri"/>
          <w:b w:val="0"/>
          <w:i w:val="0"/>
          <w:sz w:val="22"/>
        </w:rPr>
        <w:t>When multiple endpoints are tested, p-values are adjusted to control the family-wise error rate (FWER). The SAP pre-specifies the testing hierarchy and adjustment method.</w:t>
      </w:r>
    </w:p>
    <w:p>
      <w:pPr>
        <w:pBdr>
          <w:left w:val="single" w:sz="12" w:space="8" w:color="2563EB"/>
          <w:top w:val="single" w:sz="4" w:space="2" w:color="CCCCCC"/>
          <w:bottom w:val="single" w:sz="4" w:space="2" w:color="CCCCCC"/>
          <w:right w:val="single" w:sz="4" w:space="2" w:color="CCCCCC"/>
        </w:pBdr>
        <w:shd w:fill="F0F7FF"/>
      </w:pPr>
      <w:r>
        <w:rPr>
          <w:rFonts w:ascii="Calibri" w:hAnsi="Calibri"/>
          <w:b/>
          <w:color w:val="2563EB"/>
          <w:sz w:val="20"/>
        </w:rPr>
        <w:t xml:space="preserve">[Why It Matters] </w:t>
      </w:r>
      <w:r>
        <w:rPr>
          <w:rFonts w:ascii="Calibri" w:hAnsi="Calibri"/>
          <w:sz w:val="20"/>
        </w:rPr>
        <w:t>Without multiplicity adjustment, testing 20 endpoints at alpha=0.05 yields ~64% chance of at least one false positive. Regulatory agencies require adjustment to maintain the overall Type I error rate at the specified alpha level.</w:t>
      </w:r>
    </w:p>
    <w:p>
      <w:pPr>
        <w:pStyle w:val="Heading1"/>
      </w:pPr>
      <w:r>
        <w:rPr>
          <w:rFonts w:ascii="Calibri" w:hAnsi="Calibri"/>
          <w:color w:val="1E3A5F"/>
        </w:rPr>
        <w:t>4. Section 12: Safety Evaluation</w:t>
      </w:r>
    </w:p>
    <w:p>
      <w:pPr>
        <w:pStyle w:val="Heading2"/>
      </w:pPr>
      <w:r>
        <w:rPr>
          <w:rFonts w:ascii="Calibri" w:hAnsi="Calibri"/>
          <w:color w:val="1E3A5F"/>
        </w:rPr>
        <w:t>4.1 Adverse Events Table Structure</w:t>
      </w:r>
    </w:p>
    <w:p>
      <w:r>
        <w:rPr>
          <w:rFonts w:ascii="Calibri" w:hAnsi="Calibri"/>
          <w:b w:val="0"/>
          <w:i w:val="0"/>
          <w:sz w:val="22"/>
        </w:rPr>
        <w:t>AEs are tabulated by System Organ Class (SOC) using MedDRA coding. The table shows the number and percentage of subjects experiencing each AE in each treatment arm.</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E3A5F"/>
          </w:tcPr>
          <w:p>
            <w:r>
              <w:rPr>
                <w:rFonts w:ascii="Calibri" w:hAnsi="Calibri"/>
                <w:b/>
                <w:color w:val="FFFFFF"/>
                <w:sz w:val="20"/>
              </w:rPr>
              <w:t>Column</w:t>
            </w:r>
          </w:p>
        </w:tc>
        <w:tc>
          <w:tcPr>
            <w:tcW w:type="dxa" w:w="2880"/>
            <w:shd w:fill="1E3A5F"/>
          </w:tcPr>
          <w:p>
            <w:r>
              <w:rPr>
                <w:rFonts w:ascii="Calibri" w:hAnsi="Calibri"/>
                <w:b/>
                <w:color w:val="FFFFFF"/>
                <w:sz w:val="20"/>
              </w:rPr>
              <w:t>Content</w:t>
            </w:r>
          </w:p>
        </w:tc>
        <w:tc>
          <w:tcPr>
            <w:tcW w:type="dxa" w:w="2880"/>
            <w:shd w:fill="1E3A5F"/>
          </w:tcPr>
          <w:p>
            <w:r>
              <w:rPr>
                <w:rFonts w:ascii="Calibri" w:hAnsi="Calibri"/>
                <w:b/>
                <w:color w:val="FFFFFF"/>
                <w:sz w:val="20"/>
              </w:rPr>
              <w:t>Purpose</w:t>
            </w:r>
          </w:p>
        </w:tc>
      </w:tr>
      <w:tr>
        <w:tc>
          <w:tcPr>
            <w:tcW w:type="dxa" w:w="2880"/>
          </w:tcPr>
          <w:p>
            <w:r>
              <w:rPr>
                <w:rFonts w:ascii="Calibri" w:hAnsi="Calibri"/>
                <w:sz w:val="18"/>
              </w:rPr>
              <w:t>SOC / Preferred Term</w:t>
            </w:r>
          </w:p>
        </w:tc>
        <w:tc>
          <w:tcPr>
            <w:tcW w:type="dxa" w:w="2880"/>
          </w:tcPr>
          <w:p>
            <w:r>
              <w:rPr>
                <w:rFonts w:ascii="Calibri" w:hAnsi="Calibri"/>
                <w:sz w:val="18"/>
              </w:rPr>
              <w:t>MedDRA hierarchy</w:t>
            </w:r>
          </w:p>
        </w:tc>
        <w:tc>
          <w:tcPr>
            <w:tcW w:type="dxa" w:w="2880"/>
          </w:tcPr>
          <w:p>
            <w:r>
              <w:rPr>
                <w:rFonts w:ascii="Calibri" w:hAnsi="Calibri"/>
                <w:sz w:val="18"/>
              </w:rPr>
              <w:t>Standardized classification for cross-study comparison</w:t>
            </w:r>
          </w:p>
        </w:tc>
      </w:tr>
      <w:tr>
        <w:tc>
          <w:tcPr>
            <w:tcW w:type="dxa" w:w="2880"/>
            <w:shd w:fill="F0F4FA"/>
          </w:tcPr>
          <w:p>
            <w:r>
              <w:rPr>
                <w:rFonts w:ascii="Calibri" w:hAnsi="Calibri"/>
                <w:sz w:val="18"/>
              </w:rPr>
              <w:t>Treatment Arm n (%)</w:t>
            </w:r>
          </w:p>
        </w:tc>
        <w:tc>
          <w:tcPr>
            <w:tcW w:type="dxa" w:w="2880"/>
            <w:shd w:fill="F0F4FA"/>
          </w:tcPr>
          <w:p>
            <w:r>
              <w:rPr>
                <w:rFonts w:ascii="Calibri" w:hAnsi="Calibri"/>
                <w:sz w:val="18"/>
              </w:rPr>
              <w:t>Event count and percentage</w:t>
            </w:r>
          </w:p>
        </w:tc>
        <w:tc>
          <w:tcPr>
            <w:tcW w:type="dxa" w:w="2880"/>
            <w:shd w:fill="F0F4FA"/>
          </w:tcPr>
          <w:p>
            <w:r>
              <w:rPr>
                <w:rFonts w:ascii="Calibri" w:hAnsi="Calibri"/>
                <w:sz w:val="18"/>
              </w:rPr>
              <w:t>Frequency in the active treatment group</w:t>
            </w:r>
          </w:p>
        </w:tc>
      </w:tr>
      <w:tr>
        <w:tc>
          <w:tcPr>
            <w:tcW w:type="dxa" w:w="2880"/>
          </w:tcPr>
          <w:p>
            <w:r>
              <w:rPr>
                <w:rFonts w:ascii="Calibri" w:hAnsi="Calibri"/>
                <w:sz w:val="18"/>
              </w:rPr>
              <w:t>Comparator Arm n (%)</w:t>
            </w:r>
          </w:p>
        </w:tc>
        <w:tc>
          <w:tcPr>
            <w:tcW w:type="dxa" w:w="2880"/>
          </w:tcPr>
          <w:p>
            <w:r>
              <w:rPr>
                <w:rFonts w:ascii="Calibri" w:hAnsi="Calibri"/>
                <w:sz w:val="18"/>
              </w:rPr>
              <w:t>Event count and percentage</w:t>
            </w:r>
          </w:p>
        </w:tc>
        <w:tc>
          <w:tcPr>
            <w:tcW w:type="dxa" w:w="2880"/>
          </w:tcPr>
          <w:p>
            <w:r>
              <w:rPr>
                <w:rFonts w:ascii="Calibri" w:hAnsi="Calibri"/>
                <w:sz w:val="18"/>
              </w:rPr>
              <w:t>Frequency in the control group</w:t>
            </w:r>
          </w:p>
        </w:tc>
      </w:tr>
      <w:tr>
        <w:tc>
          <w:tcPr>
            <w:tcW w:type="dxa" w:w="2880"/>
            <w:shd w:fill="F0F4FA"/>
          </w:tcPr>
          <w:p>
            <w:r>
              <w:rPr>
                <w:rFonts w:ascii="Calibri" w:hAnsi="Calibri"/>
                <w:sz w:val="18"/>
              </w:rPr>
              <w:t>Risk Difference (95% CI)</w:t>
            </w:r>
          </w:p>
        </w:tc>
        <w:tc>
          <w:tcPr>
            <w:tcW w:type="dxa" w:w="2880"/>
            <w:shd w:fill="F0F4FA"/>
          </w:tcPr>
          <w:p>
            <w:r>
              <w:rPr>
                <w:rFonts w:ascii="Calibri" w:hAnsi="Calibri"/>
                <w:sz w:val="18"/>
              </w:rPr>
              <w:t>Absolute difference</w:t>
            </w:r>
          </w:p>
        </w:tc>
        <w:tc>
          <w:tcPr>
            <w:tcW w:type="dxa" w:w="2880"/>
            <w:shd w:fill="F0F4FA"/>
          </w:tcPr>
          <w:p>
            <w:r>
              <w:rPr>
                <w:rFonts w:ascii="Calibri" w:hAnsi="Calibri"/>
                <w:sz w:val="18"/>
              </w:rPr>
              <w:t>Clinical magnitude of the safety signal</w:t>
            </w:r>
          </w:p>
        </w:tc>
      </w:tr>
    </w:tbl>
    <w:p/>
    <w:p>
      <w:pPr>
        <w:pBdr>
          <w:left w:val="single" w:sz="12" w:space="8" w:color="2563EB"/>
          <w:top w:val="single" w:sz="4" w:space="2" w:color="CCCCCC"/>
          <w:bottom w:val="single" w:sz="4" w:space="2" w:color="CCCCCC"/>
          <w:right w:val="single" w:sz="4" w:space="2" w:color="CCCCCC"/>
        </w:pBdr>
        <w:shd w:fill="F0F7FF"/>
      </w:pPr>
      <w:r>
        <w:rPr>
          <w:rFonts w:ascii="Calibri" w:hAnsi="Calibri"/>
          <w:b/>
          <w:color w:val="2563EB"/>
          <w:sz w:val="20"/>
        </w:rPr>
        <w:t xml:space="preserve">[Why Serious AEs Are Separated] </w:t>
      </w:r>
      <w:r>
        <w:rPr>
          <w:rFonts w:ascii="Calibri" w:hAnsi="Calibri"/>
          <w:sz w:val="20"/>
        </w:rPr>
        <w:t>Serious adverse events (SAEs) are reported separately because they have distinct regulatory implications: expedited reporting to IRBs and regulatory agencies, potential protocol amendments, and potential labeling changes. SAEs include death, hospitalization, life-threatening events, disability, and congenital anomalies.</w:t>
      </w:r>
    </w:p>
    <w:p>
      <w:pPr>
        <w:pStyle w:val="Heading2"/>
      </w:pPr>
      <w:r>
        <w:rPr>
          <w:rFonts w:ascii="Calibri" w:hAnsi="Calibri"/>
          <w:color w:val="1E3A5F"/>
        </w:rPr>
        <w:t>4.2 Treatment-Emergent Definition</w:t>
      </w:r>
    </w:p>
    <w:p>
      <w:pPr>
        <w:pBdr>
          <w:left w:val="single" w:sz="12" w:space="8" w:color="2563EB"/>
          <w:top w:val="single" w:sz="4" w:space="2" w:color="CCCCCC"/>
          <w:bottom w:val="single" w:sz="4" w:space="2" w:color="CCCCCC"/>
          <w:right w:val="single" w:sz="4" w:space="2" w:color="CCCCCC"/>
        </w:pBdr>
        <w:shd w:fill="F0F7FF"/>
      </w:pPr>
      <w:r>
        <w:rPr>
          <w:rFonts w:ascii="Calibri" w:hAnsi="Calibri"/>
          <w:b/>
          <w:color w:val="2563EB"/>
          <w:sz w:val="20"/>
        </w:rPr>
        <w:t xml:space="preserve">[What Treatment-Emergent Means] </w:t>
      </w:r>
      <w:r>
        <w:rPr>
          <w:rFonts w:ascii="Calibri" w:hAnsi="Calibri"/>
          <w:sz w:val="20"/>
        </w:rPr>
        <w:t>A treatment-emergent adverse event (TEAE) is one that first occurs or worsens in severity after the first dose of study treatment. Events present at baseline that do not worsen are not treatment-emergent. The TRTEMFL flag in ADAE implements this logic by comparing AESTDTC to the first dose date from ADSL.</w:t>
      </w:r>
    </w:p>
    <w:p>
      <w:pPr>
        <w:pStyle w:val="Heading1"/>
      </w:pPr>
      <w:r>
        <w:rPr>
          <w:rFonts w:ascii="Calibri" w:hAnsi="Calibri"/>
          <w:color w:val="1E3A5F"/>
        </w:rPr>
        <w:t>5. Demographics Table</w:t>
      </w:r>
    </w:p>
    <w:p>
      <w:r>
        <w:rPr>
          <w:rFonts w:ascii="Calibri" w:hAnsi="Calibri"/>
          <w:b w:val="0"/>
          <w:i w:val="0"/>
          <w:sz w:val="22"/>
        </w:rPr>
        <w:t>Table 14.1.1 displays baseline characteristics for both treatment arms and the total population. It includes continuous variables (mean, SD, median, range) and categorical variables (n, percentage).</w:t>
      </w:r>
    </w:p>
    <w:p>
      <w:pPr>
        <w:pBdr>
          <w:left w:val="single" w:sz="12" w:space="8" w:color="2563EB"/>
          <w:top w:val="single" w:sz="4" w:space="2" w:color="CCCCCC"/>
          <w:bottom w:val="single" w:sz="4" w:space="2" w:color="CCCCCC"/>
          <w:right w:val="single" w:sz="4" w:space="2" w:color="CCCCCC"/>
        </w:pBdr>
        <w:shd w:fill="F0F7FF"/>
      </w:pPr>
      <w:r>
        <w:rPr>
          <w:rFonts w:ascii="Calibri" w:hAnsi="Calibri"/>
          <w:b/>
          <w:color w:val="2563EB"/>
          <w:sz w:val="20"/>
        </w:rPr>
        <w:t xml:space="preserve">[Why Both Arms + Total] </w:t>
      </w:r>
      <w:r>
        <w:rPr>
          <w:rFonts w:ascii="Calibri" w:hAnsi="Calibri"/>
          <w:sz w:val="20"/>
        </w:rPr>
        <w:t>Showing both arms allows assessment of balance between groups. The total column provides the overall study population characteristics. FDA reviewers check whether the study population matches the target indication population and whether randomization achieved balance.</w:t>
      </w:r>
    </w:p>
    <w:p>
      <w:pPr>
        <w:pBdr>
          <w:left w:val="single" w:sz="12" w:space="8" w:color="2563EB"/>
          <w:top w:val="single" w:sz="4" w:space="2" w:color="CCCCCC"/>
          <w:bottom w:val="single" w:sz="4" w:space="2" w:color="CCCCCC"/>
          <w:right w:val="single" w:sz="4" w:space="2" w:color="CCCCCC"/>
        </w:pBdr>
        <w:shd w:fill="F0F7FF"/>
      </w:pPr>
      <w:r>
        <w:rPr>
          <w:rFonts w:ascii="Calibri" w:hAnsi="Calibri"/>
          <w:b/>
          <w:color w:val="2563EB"/>
          <w:sz w:val="20"/>
        </w:rPr>
        <w:t xml:space="preserve">[SMD &gt; 0.10] </w:t>
      </w:r>
      <w:r>
        <w:rPr>
          <w:rFonts w:ascii="Calibri" w:hAnsi="Calibri"/>
          <w:sz w:val="20"/>
        </w:rPr>
        <w:t>Standardized Mean Differences greater than 0.10 indicate meaningful imbalance between arms. While p-values test statistical significance of differences, SMD measures practical significance. Austin (2011) established 0.10 as the threshold for declaring balance in propensity score analyses.</w:t>
      </w:r>
    </w:p>
    <w:p>
      <w:pPr>
        <w:pStyle w:val="Heading1"/>
      </w:pPr>
      <w:r>
        <w:rPr>
          <w:rFonts w:ascii="Calibri" w:hAnsi="Calibri"/>
          <w:color w:val="1E3A5F"/>
        </w:rPr>
        <w:t>6. Kaplan-Meier Survival Curves</w:t>
      </w:r>
    </w:p>
    <w:p>
      <w:r>
        <w:rPr>
          <w:rFonts w:ascii="Calibri" w:hAnsi="Calibri"/>
          <w:b w:val="0"/>
          <w:i w:val="0"/>
          <w:sz w:val="22"/>
        </w:rPr>
        <w:t>Figure 14.2.1 shows the estimated survival probability over time for each treatment arm.</w:t>
      </w:r>
    </w:p>
    <w:p>
      <w:pPr>
        <w:pBdr>
          <w:left w:val="single" w:sz="12" w:space="8" w:color="2563EB"/>
          <w:top w:val="single" w:sz="4" w:space="2" w:color="CCCCCC"/>
          <w:bottom w:val="single" w:sz="4" w:space="2" w:color="CCCCCC"/>
          <w:right w:val="single" w:sz="4" w:space="2" w:color="CCCCCC"/>
        </w:pBdr>
        <w:shd w:fill="F0F7FF"/>
      </w:pPr>
      <w:r>
        <w:rPr>
          <w:rFonts w:ascii="Calibri" w:hAnsi="Calibri"/>
          <w:b/>
          <w:color w:val="2563EB"/>
          <w:sz w:val="20"/>
        </w:rPr>
        <w:t xml:space="preserve">[At-Risk Table] </w:t>
      </w:r>
      <w:r>
        <w:rPr>
          <w:rFonts w:ascii="Calibri" w:hAnsi="Calibri"/>
          <w:sz w:val="20"/>
        </w:rPr>
        <w:t>The at-risk table below the curve shows the number of subjects still under observation (not yet censored or experienced the event) at each time point. Reviewers use this to assess whether the curves are reliable at later time points (fewer subjects = wider CIs).</w:t>
      </w:r>
    </w:p>
    <w:p>
      <w:pPr>
        <w:pBdr>
          <w:left w:val="single" w:sz="12" w:space="8" w:color="2563EB"/>
          <w:top w:val="single" w:sz="4" w:space="2" w:color="CCCCCC"/>
          <w:bottom w:val="single" w:sz="4" w:space="2" w:color="CCCCCC"/>
          <w:right w:val="single" w:sz="4" w:space="2" w:color="CCCCCC"/>
        </w:pBdr>
        <w:shd w:fill="F0F7FF"/>
      </w:pPr>
      <w:r>
        <w:rPr>
          <w:rFonts w:ascii="Calibri" w:hAnsi="Calibri"/>
          <w:b/>
          <w:color w:val="2563EB"/>
          <w:sz w:val="20"/>
        </w:rPr>
        <w:t xml:space="preserve">[Median Survival Annotation] </w:t>
      </w:r>
      <w:r>
        <w:rPr>
          <w:rFonts w:ascii="Calibri" w:hAnsi="Calibri"/>
          <w:sz w:val="20"/>
        </w:rPr>
        <w:t>The median survival time is the time at which the Kaplan-Meier estimate crosses 50%. If the curve never crosses 50%, median survival is not estimable (NE). The annotation includes the 95% CI for the median, computed using the Brookmeyer-Crowley method.</w:t>
      </w:r>
    </w:p>
    <w:p>
      <w:pPr>
        <w:pBdr>
          <w:left w:val="single" w:sz="12" w:space="8" w:color="2563EB"/>
          <w:top w:val="single" w:sz="4" w:space="2" w:color="CCCCCC"/>
          <w:bottom w:val="single" w:sz="4" w:space="2" w:color="CCCCCC"/>
          <w:right w:val="single" w:sz="4" w:space="2" w:color="CCCCCC"/>
        </w:pBdr>
        <w:shd w:fill="F0F7FF"/>
      </w:pPr>
      <w:r>
        <w:rPr>
          <w:rFonts w:ascii="Calibri" w:hAnsi="Calibri"/>
          <w:b/>
          <w:color w:val="2563EB"/>
          <w:sz w:val="20"/>
        </w:rPr>
        <w:t xml:space="preserve">[Log-Rank Test] </w:t>
      </w:r>
      <w:r>
        <w:rPr>
          <w:rFonts w:ascii="Calibri" w:hAnsi="Calibri"/>
          <w:sz w:val="20"/>
        </w:rPr>
        <w:t>The log-rank test compares the survival distributions between groups. It tests the null hypothesis that the survival curves are identical. The p-value is reported on the figure. Note: log-rank is a non-parametric test that does not assume proportional hazards.</w:t>
      </w:r>
    </w:p>
    <w:p>
      <w:pPr>
        <w:pStyle w:val="Heading1"/>
      </w:pPr>
      <w:r>
        <w:rPr>
          <w:rFonts w:ascii="Calibri" w:hAnsi="Calibri"/>
          <w:color w:val="1E3A5F"/>
        </w:rPr>
        <w:t>7. Forest Plot (Detailed)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E3A5F"/>
          </w:tcPr>
          <w:p>
            <w:r>
              <w:rPr>
                <w:rFonts w:ascii="Calibri" w:hAnsi="Calibri"/>
                <w:b/>
                <w:color w:val="FFFFFF"/>
                <w:sz w:val="20"/>
              </w:rPr>
              <w:t>Element</w:t>
            </w:r>
          </w:p>
        </w:tc>
        <w:tc>
          <w:tcPr>
            <w:tcW w:type="dxa" w:w="2880"/>
            <w:shd w:fill="1E3A5F"/>
          </w:tcPr>
          <w:p>
            <w:r>
              <w:rPr>
                <w:rFonts w:ascii="Calibri" w:hAnsi="Calibri"/>
                <w:b/>
                <w:color w:val="FFFFFF"/>
                <w:sz w:val="20"/>
              </w:rPr>
              <w:t>Visual</w:t>
            </w:r>
          </w:p>
        </w:tc>
        <w:tc>
          <w:tcPr>
            <w:tcW w:type="dxa" w:w="2880"/>
            <w:shd w:fill="1E3A5F"/>
          </w:tcPr>
          <w:p>
            <w:r>
              <w:rPr>
                <w:rFonts w:ascii="Calibri" w:hAnsi="Calibri"/>
                <w:b/>
                <w:color w:val="FFFFFF"/>
                <w:sz w:val="20"/>
              </w:rPr>
              <w:t>Meaning</w:t>
            </w:r>
          </w:p>
        </w:tc>
      </w:tr>
      <w:tr>
        <w:tc>
          <w:tcPr>
            <w:tcW w:type="dxa" w:w="2880"/>
          </w:tcPr>
          <w:p>
            <w:r>
              <w:rPr>
                <w:rFonts w:ascii="Calibri" w:hAnsi="Calibri"/>
                <w:sz w:val="18"/>
              </w:rPr>
              <w:t>Diamond</w:t>
            </w:r>
          </w:p>
        </w:tc>
        <w:tc>
          <w:tcPr>
            <w:tcW w:type="dxa" w:w="2880"/>
          </w:tcPr>
          <w:p>
            <w:r>
              <w:rPr>
                <w:rFonts w:ascii="Calibri" w:hAnsi="Calibri"/>
                <w:sz w:val="18"/>
              </w:rPr>
              <w:t>Wider shape at summary row</w:t>
            </w:r>
          </w:p>
        </w:tc>
        <w:tc>
          <w:tcPr>
            <w:tcW w:type="dxa" w:w="2880"/>
          </w:tcPr>
          <w:p>
            <w:r>
              <w:rPr>
                <w:rFonts w:ascii="Calibri" w:hAnsi="Calibri"/>
                <w:sz w:val="18"/>
              </w:rPr>
              <w:t>Overall pooled estimate; width = confidence interval</w:t>
            </w:r>
          </w:p>
        </w:tc>
      </w:tr>
      <w:tr>
        <w:tc>
          <w:tcPr>
            <w:tcW w:type="dxa" w:w="2880"/>
            <w:shd w:fill="F0F4FA"/>
          </w:tcPr>
          <w:p>
            <w:r>
              <w:rPr>
                <w:rFonts w:ascii="Calibri" w:hAnsi="Calibri"/>
                <w:sz w:val="18"/>
              </w:rPr>
              <w:t>Squares</w:t>
            </w:r>
          </w:p>
        </w:tc>
        <w:tc>
          <w:tcPr>
            <w:tcW w:type="dxa" w:w="2880"/>
            <w:shd w:fill="F0F4FA"/>
          </w:tcPr>
          <w:p>
            <w:r>
              <w:rPr>
                <w:rFonts w:ascii="Calibri" w:hAnsi="Calibri"/>
                <w:sz w:val="18"/>
              </w:rPr>
              <w:t>Filled boxes per analysis</w:t>
            </w:r>
          </w:p>
        </w:tc>
        <w:tc>
          <w:tcPr>
            <w:tcW w:type="dxa" w:w="2880"/>
            <w:shd w:fill="F0F4FA"/>
          </w:tcPr>
          <w:p>
            <w:r>
              <w:rPr>
                <w:rFonts w:ascii="Calibri" w:hAnsi="Calibri"/>
                <w:sz w:val="18"/>
              </w:rPr>
              <w:t>Point estimate; size proportional to weight/sample size</w:t>
            </w:r>
          </w:p>
        </w:tc>
      </w:tr>
      <w:tr>
        <w:tc>
          <w:tcPr>
            <w:tcW w:type="dxa" w:w="2880"/>
          </w:tcPr>
          <w:p>
            <w:r>
              <w:rPr>
                <w:rFonts w:ascii="Calibri" w:hAnsi="Calibri"/>
                <w:sz w:val="18"/>
              </w:rPr>
              <w:t>Horizontal lines</w:t>
            </w:r>
          </w:p>
        </w:tc>
        <w:tc>
          <w:tcPr>
            <w:tcW w:type="dxa" w:w="2880"/>
          </w:tcPr>
          <w:p>
            <w:r>
              <w:rPr>
                <w:rFonts w:ascii="Calibri" w:hAnsi="Calibri"/>
                <w:sz w:val="18"/>
              </w:rPr>
              <w:t>Lines extending from squares</w:t>
            </w:r>
          </w:p>
        </w:tc>
        <w:tc>
          <w:tcPr>
            <w:tcW w:type="dxa" w:w="2880"/>
          </w:tcPr>
          <w:p>
            <w:r>
              <w:rPr>
                <w:rFonts w:ascii="Calibri" w:hAnsi="Calibri"/>
                <w:sz w:val="18"/>
              </w:rPr>
              <w:t>95% confidence interval for that estimate</w:t>
            </w:r>
          </w:p>
        </w:tc>
      </w:tr>
      <w:tr>
        <w:tc>
          <w:tcPr>
            <w:tcW w:type="dxa" w:w="2880"/>
            <w:shd w:fill="F0F4FA"/>
          </w:tcPr>
          <w:p>
            <w:r>
              <w:rPr>
                <w:rFonts w:ascii="Calibri" w:hAnsi="Calibri"/>
                <w:sz w:val="18"/>
              </w:rPr>
              <w:t>Vertical line at 1.0</w:t>
            </w:r>
          </w:p>
        </w:tc>
        <w:tc>
          <w:tcPr>
            <w:tcW w:type="dxa" w:w="2880"/>
            <w:shd w:fill="F0F4FA"/>
          </w:tcPr>
          <w:p>
            <w:r>
              <w:rPr>
                <w:rFonts w:ascii="Calibri" w:hAnsi="Calibri"/>
                <w:sz w:val="18"/>
              </w:rPr>
              <w:t>Dashed reference line</w:t>
            </w:r>
          </w:p>
        </w:tc>
        <w:tc>
          <w:tcPr>
            <w:tcW w:type="dxa" w:w="2880"/>
            <w:shd w:fill="F0F4FA"/>
          </w:tcPr>
          <w:p>
            <w:r>
              <w:rPr>
                <w:rFonts w:ascii="Calibri" w:hAnsi="Calibri"/>
                <w:sz w:val="18"/>
              </w:rPr>
              <w:t>Null effect; no difference between arms</w:t>
            </w:r>
          </w:p>
        </w:tc>
      </w:tr>
      <w:tr>
        <w:tc>
          <w:tcPr>
            <w:tcW w:type="dxa" w:w="2880"/>
          </w:tcPr>
          <w:p>
            <w:r>
              <w:rPr>
                <w:rFonts w:ascii="Calibri" w:hAnsi="Calibri"/>
                <w:sz w:val="18"/>
              </w:rPr>
              <w:t>Heterogeneity I-squared</w:t>
            </w:r>
          </w:p>
        </w:tc>
        <w:tc>
          <w:tcPr>
            <w:tcW w:type="dxa" w:w="2880"/>
          </w:tcPr>
          <w:p>
            <w:r>
              <w:rPr>
                <w:rFonts w:ascii="Calibri" w:hAnsi="Calibri"/>
                <w:sz w:val="18"/>
              </w:rPr>
              <w:t>Footnote or header</w:t>
            </w:r>
          </w:p>
        </w:tc>
        <w:tc>
          <w:tcPr>
            <w:tcW w:type="dxa" w:w="2880"/>
          </w:tcPr>
          <w:p>
            <w:r>
              <w:rPr>
                <w:rFonts w:ascii="Calibri" w:hAnsi="Calibri"/>
                <w:sz w:val="18"/>
              </w:rPr>
              <w:t>Percentage of variability due to true differences vs. chance</w:t>
            </w:r>
          </w:p>
        </w:tc>
      </w:tr>
      <w:tr>
        <w:tc>
          <w:tcPr>
            <w:tcW w:type="dxa" w:w="2880"/>
            <w:shd w:fill="F0F4FA"/>
          </w:tcPr>
          <w:p>
            <w:r>
              <w:rPr>
                <w:rFonts w:ascii="Calibri" w:hAnsi="Calibri"/>
                <w:sz w:val="18"/>
              </w:rPr>
              <w:t>Favors labels</w:t>
            </w:r>
          </w:p>
        </w:tc>
        <w:tc>
          <w:tcPr>
            <w:tcW w:type="dxa" w:w="2880"/>
            <w:shd w:fill="F0F4FA"/>
          </w:tcPr>
          <w:p>
            <w:r>
              <w:rPr>
                <w:rFonts w:ascii="Calibri" w:hAnsi="Calibri"/>
                <w:sz w:val="18"/>
              </w:rPr>
              <w:t>Below the x-axis</w:t>
            </w:r>
          </w:p>
        </w:tc>
        <w:tc>
          <w:tcPr>
            <w:tcW w:type="dxa" w:w="2880"/>
            <w:shd w:fill="F0F4FA"/>
          </w:tcPr>
          <w:p>
            <w:r>
              <w:rPr>
                <w:rFonts w:ascii="Calibri" w:hAnsi="Calibri"/>
                <w:sz w:val="18"/>
              </w:rPr>
              <w:t>Direction of effect: left = favors treatment, right = favors comparator</w:t>
            </w:r>
          </w:p>
        </w:tc>
      </w:tr>
    </w:tbl>
    <w:p/>
    <w:p>
      <w:pPr>
        <w:pStyle w:val="Heading1"/>
      </w:pPr>
      <w:r>
        <w:rPr>
          <w:rFonts w:ascii="Calibri" w:hAnsi="Calibri"/>
          <w:color w:val="1E3A5F"/>
        </w:rPr>
        <w:t>8. ADRG (Analysis Data Reviewer's Guide)</w:t>
      </w:r>
    </w:p>
    <w:p>
      <w:pPr>
        <w:pBdr>
          <w:left w:val="single" w:sz="12" w:space="8" w:color="2563EB"/>
          <w:top w:val="single" w:sz="4" w:space="2" w:color="CCCCCC"/>
          <w:bottom w:val="single" w:sz="4" w:space="2" w:color="CCCCCC"/>
          <w:right w:val="single" w:sz="4" w:space="2" w:color="CCCCCC"/>
        </w:pBdr>
        <w:shd w:fill="F0F7FF"/>
      </w:pPr>
      <w:r>
        <w:rPr>
          <w:rFonts w:ascii="Calibri" w:hAnsi="Calibri"/>
          <w:b/>
          <w:color w:val="2563EB"/>
          <w:sz w:val="20"/>
        </w:rPr>
        <w:t xml:space="preserve">[Why Document the Computing Environment] </w:t>
      </w:r>
      <w:r>
        <w:rPr>
          <w:rFonts w:ascii="Calibri" w:hAnsi="Calibri"/>
          <w:sz w:val="20"/>
        </w:rPr>
        <w:t>FDA reviewers may attempt to reproduce analyses. The ADRG must specify the exact software versions, operating system, and hardware configuration used. If the reviewer cannot reproduce the result, it may trigger a Complete Response Letter or Refuse-to-File action.</w:t>
      </w:r>
    </w:p>
    <w:p>
      <w:pPr>
        <w:pBdr>
          <w:left w:val="single" w:sz="12" w:space="8" w:color="2563EB"/>
          <w:top w:val="single" w:sz="4" w:space="2" w:color="CCCCCC"/>
          <w:bottom w:val="single" w:sz="4" w:space="2" w:color="CCCCCC"/>
          <w:right w:val="single" w:sz="4" w:space="2" w:color="CCCCCC"/>
        </w:pBdr>
        <w:shd w:fill="F0F7FF"/>
      </w:pPr>
      <w:r>
        <w:rPr>
          <w:rFonts w:ascii="Calibri" w:hAnsi="Calibri"/>
          <w:b/>
          <w:color w:val="2563EB"/>
          <w:sz w:val="20"/>
        </w:rPr>
        <w:t xml:space="preserve">[What Reproducibility Means for FDA] </w:t>
      </w:r>
      <w:r>
        <w:rPr>
          <w:rFonts w:ascii="Calibri" w:hAnsi="Calibri"/>
          <w:sz w:val="20"/>
        </w:rPr>
        <w:t>Reproducibility in the regulatory context means that an independent analyst, given the same data and programs, produces the same numerical results. This requires: deterministic algorithms, pinned package versions, documented random seeds, and archived execution environments.</w:t>
      </w:r>
    </w:p>
    <w:p>
      <w:pPr>
        <w:pStyle w:val="Heading1"/>
      </w:pPr>
      <w:r>
        <w:rPr>
          <w:rFonts w:ascii="Calibri" w:hAnsi="Calibri"/>
          <w:color w:val="1E3A5F"/>
        </w:rPr>
        <w:t>9. Define-XML</w:t>
      </w:r>
    </w:p>
    <w:p>
      <w:pPr>
        <w:pBdr>
          <w:left w:val="single" w:sz="12" w:space="8" w:color="2563EB"/>
          <w:top w:val="single" w:sz="4" w:space="2" w:color="CCCCCC"/>
          <w:bottom w:val="single" w:sz="4" w:space="2" w:color="CCCCCC"/>
          <w:right w:val="single" w:sz="4" w:space="2" w:color="CCCCCC"/>
        </w:pBdr>
        <w:shd w:fill="F0F7FF"/>
      </w:pPr>
      <w:r>
        <w:rPr>
          <w:rFonts w:ascii="Calibri" w:hAnsi="Calibri"/>
          <w:b/>
          <w:color w:val="2563EB"/>
          <w:sz w:val="20"/>
        </w:rPr>
        <w:t xml:space="preserve">[Why Every Variable Needs a Label, Origin, and Codelist] </w:t>
      </w:r>
      <w:r>
        <w:rPr>
          <w:rFonts w:ascii="Calibri" w:hAnsi="Calibri"/>
          <w:sz w:val="20"/>
        </w:rPr>
        <w:t>Define-XML serves as the machine-readable data dictionary for the submission. Without it, FDA's automated review tools cannot parse the datasets. Every variable must have: a label (human-readable description, max 40 chars), an origin (CRF, Derived, Assigned, Protocol) documenting where the value comes from, and a codelist reference for categorical variables to ensure controlled terminology compliance.</w:t>
      </w:r>
    </w:p>
    <w:p>
      <w:pPr>
        <w:pStyle w:val="Heading1"/>
      </w:pPr>
      <w:r>
        <w:rPr>
          <w:rFonts w:ascii="Calibri" w:hAnsi="Calibri"/>
          <w:color w:val="1E3A5F"/>
        </w:rPr>
        <w:t>10. eCTD Structure</w:t>
      </w:r>
    </w:p>
    <w:p>
      <w:pPr>
        <w:pBdr>
          <w:left w:val="single" w:sz="12" w:space="8" w:color="2563EB"/>
          <w:top w:val="single" w:sz="4" w:space="2" w:color="CCCCCC"/>
          <w:bottom w:val="single" w:sz="4" w:space="2" w:color="CCCCCC"/>
          <w:right w:val="single" w:sz="4" w:space="2" w:color="CCCCCC"/>
        </w:pBdr>
        <w:shd w:fill="F0F7FF"/>
      </w:pPr>
      <w:r>
        <w:rPr>
          <w:rFonts w:ascii="Calibri" w:hAnsi="Calibri"/>
          <w:b/>
          <w:color w:val="2563EB"/>
          <w:sz w:val="20"/>
        </w:rPr>
        <w:t xml:space="preserve">[Why m5/ Has Specific Subdirectories] </w:t>
      </w:r>
      <w:r>
        <w:rPr>
          <w:rFonts w:ascii="Calibri" w:hAnsi="Calibri"/>
          <w:sz w:val="20"/>
        </w:rPr>
        <w:t>The eCTD (electronic Common Technical Document) is an internationally agreed format (ICH M8). Module 5 contains clinical study reports and is subdivided into: 5.3.5 (reports of analyses of data from more than one study), datasets/ (SDTM and ADaM), and supporting documents. The rigid directory structure allows regulatory agencies automated ingestion into their review systems.</w:t>
      </w:r>
    </w:p>
    <w:p>
      <w:pPr>
        <w:pBdr>
          <w:left w:val="single" w:sz="12" w:space="8" w:color="2563EB"/>
          <w:top w:val="single" w:sz="4" w:space="2" w:color="CCCCCC"/>
          <w:bottom w:val="single" w:sz="4" w:space="2" w:color="CCCCCC"/>
          <w:right w:val="single" w:sz="4" w:space="2" w:color="CCCCCC"/>
        </w:pBdr>
        <w:shd w:fill="F0F7FF"/>
      </w:pPr>
      <w:r>
        <w:rPr>
          <w:rFonts w:ascii="Calibri" w:hAnsi="Calibri"/>
          <w:b/>
          <w:color w:val="2563EB"/>
          <w:sz w:val="20"/>
        </w:rPr>
        <w:t xml:space="preserve">[Study Tagging File (STF)] </w:t>
      </w:r>
      <w:r>
        <w:rPr>
          <w:rFonts w:ascii="Calibri" w:hAnsi="Calibri"/>
          <w:sz w:val="20"/>
        </w:rPr>
        <w:t>The stf.xml file links the eCTD leaf documents to their regulatory context: which study, which indication, which submission sequence. It enables FDA's DERS (Document and Electronic Review System) to index and route the submission to the correct review division.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