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E3A5F"/>
          <w:sz w:val="56"/>
        </w:rPr>
        <w:t>AFARENSIS ENTERPRISE</w:t>
      </w:r>
    </w:p>
    <w:p>
      <w:pPr>
        <w:jc w:val="center"/>
      </w:pPr>
      <w:r>
        <w:rPr>
          <w:rFonts w:ascii="Calibri" w:hAnsi="Calibri"/>
          <w:color w:val="1E3A5F"/>
          <w:sz w:val="40"/>
        </w:rPr>
        <w:t>How-To Guide</w:t>
      </w:r>
    </w:p>
    <w:p>
      <w:pPr>
        <w:jc w:val="center"/>
      </w:pPr>
      <w:r>
        <w:rPr>
          <w:rFonts w:ascii="Calibri" w:hAnsi="Calibri"/>
          <w:color w:val="2563EB"/>
          <w:sz w:val="28"/>
        </w:rPr>
        <w:t>For Biostatisticians, HEOR, Regulatory &amp; IT</w:t>
      </w:r>
    </w:p>
    <w:p/>
    <w:p>
      <w:pPr>
        <w:jc w:val="center"/>
      </w:pPr>
      <w:r>
        <w:rPr>
          <w:rFonts w:ascii="Calibri" w:hAnsi="Calibri"/>
          <w:color w:val="666666"/>
          <w:sz w:val="22"/>
        </w:rPr>
        <w:t>Version v2.1  |  March 23, 2026</w:t>
      </w:r>
    </w:p>
    <w:p>
      <w:pPr>
        <w:jc w:val="center"/>
      </w:pPr>
      <w:r>
        <w:rPr>
          <w:rFonts w:ascii="Calibri" w:hAnsi="Calibri"/>
          <w:color w:val="666666"/>
          <w:sz w:val="22"/>
        </w:rPr>
        <w:t>Synthetic Ascension Pty Ltd</w:t>
      </w:r>
    </w:p>
    <w:p>
      <w:r>
        <w:br w:type="page"/>
      </w:r>
    </w:p>
    <w:p>
      <w:pPr>
        <w:pStyle w:val="Heading1"/>
      </w:pPr>
      <w:r>
        <w:rPr>
          <w:rFonts w:ascii="Calibri" w:hAnsi="Calibri"/>
          <w:color w:val="1E3A5F"/>
        </w:rPr>
        <w:t>1. For Biostatisticians</w:t>
      </w:r>
    </w:p>
    <w:p>
      <w:pPr>
        <w:pStyle w:val="Heading2"/>
      </w:pPr>
      <w:r>
        <w:rPr>
          <w:rFonts w:ascii="Calibri" w:hAnsi="Calibri"/>
          <w:color w:val="1E3A5F"/>
        </w:rPr>
        <w:t>1.1 Cox Proportional Hazards Setup</w:t>
      </w:r>
    </w:p>
    <w:p>
      <w:r>
        <w:rPr>
          <w:rFonts w:ascii="Calibri" w:hAnsi="Calibri"/>
          <w:b w:val="0"/>
          <w:i w:val="0"/>
          <w:sz w:val="22"/>
        </w:rPr>
        <w:t>Navigate to Step 7 (Effect Estimation) and select Cox PH as the primary model. Configure the following parameters:</w:t>
      </w:r>
    </w:p>
    <w:p>
      <w:pPr>
        <w:pStyle w:val="ListBullet"/>
      </w:pPr>
      <w:r>
        <w:rPr>
          <w:rFonts w:ascii="Calibri" w:hAnsi="Calibri"/>
          <w:sz w:val="22"/>
        </w:rPr>
        <w:t>Time variable: Select the time-to-event column (e.g., OS_MONTHS, PFS_DAYS)</w:t>
      </w:r>
    </w:p>
    <w:p>
      <w:pPr>
        <w:pStyle w:val="ListBullet"/>
      </w:pPr>
      <w:r>
        <w:rPr>
          <w:rFonts w:ascii="Calibri" w:hAnsi="Calibri"/>
          <w:sz w:val="22"/>
        </w:rPr>
        <w:t>Event indicator: Select the censoring indicator (1 = event, 0 = censored)</w:t>
      </w:r>
    </w:p>
    <w:p>
      <w:pPr>
        <w:pStyle w:val="ListBullet"/>
      </w:pPr>
      <w:r>
        <w:rPr>
          <w:rFonts w:ascii="Calibri" w:hAnsi="Calibri"/>
          <w:sz w:val="22"/>
        </w:rPr>
        <w:t>Treatment variable: Binary treatment indicator from ADSL.TRTA</w:t>
      </w:r>
    </w:p>
    <w:p>
      <w:pPr>
        <w:pStyle w:val="ListBullet"/>
      </w:pPr>
      <w:r>
        <w:rPr>
          <w:rFonts w:ascii="Calibri" w:hAnsi="Calibri"/>
          <w:sz w:val="22"/>
        </w:rPr>
        <w:t>Covariates: Auto-populated from the causal framework adjustment set</w:t>
      </w:r>
    </w:p>
    <w:p>
      <w:r>
        <w:rPr>
          <w:rFonts w:ascii="Calibri" w:hAnsi="Calibri"/>
          <w:b w:val="0"/>
          <w:i w:val="0"/>
          <w:sz w:val="22"/>
        </w:rPr>
        <w:t>The system automatically checks the proportional hazards assumption via Schoenfeld residuals and log-log plots. Violations are flagged with remediation suggestions: stratification, time-varying coefficients, or restricted mean survival time (RMST) as an alternative estimand.</w:t>
      </w:r>
    </w:p>
    <w:p>
      <w:pPr>
        <w:pStyle w:val="Heading2"/>
      </w:pPr>
      <w:r>
        <w:rPr>
          <w:rFonts w:ascii="Calibri" w:hAnsi="Calibri"/>
          <w:color w:val="1E3A5F"/>
        </w:rPr>
        <w:t>1.2 IPTW Configuration</w:t>
      </w:r>
    </w:p>
    <w:p>
      <w:r>
        <w:rPr>
          <w:rFonts w:ascii="Calibri" w:hAnsi="Calibri"/>
          <w:b w:val="0"/>
          <w:i w:val="0"/>
          <w:sz w:val="22"/>
        </w:rPr>
        <w:t>Inverse Probability of Treatment Weighting uses a logistic regression propensity score model by default. Configuration options: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rFonts w:ascii="Calibri" w:hAnsi="Calibri"/>
                <w:b/>
                <w:color w:val="FFFFFF"/>
                <w:sz w:val="20"/>
              </w:rPr>
              <w:t>Parameter</w:t>
            </w:r>
          </w:p>
        </w:tc>
        <w:tc>
          <w:tcPr>
            <w:tcW w:type="dxa" w:w="2880"/>
            <w:shd w:fill="1E3A5F"/>
          </w:tcPr>
          <w:p>
            <w:r>
              <w:rPr>
                <w:rFonts w:ascii="Calibri" w:hAnsi="Calibri"/>
                <w:b/>
                <w:color w:val="FFFFFF"/>
                <w:sz w:val="20"/>
              </w:rPr>
              <w:t>Default</w:t>
            </w:r>
          </w:p>
        </w:tc>
        <w:tc>
          <w:tcPr>
            <w:tcW w:type="dxa" w:w="2880"/>
            <w:shd w:fill="1E3A5F"/>
          </w:tcPr>
          <w:p>
            <w:r>
              <w:rPr>
                <w:rFonts w:ascii="Calibri" w:hAnsi="Calibri"/>
                <w:b/>
                <w:color w:val="FFFFFF"/>
                <w:sz w:val="20"/>
              </w:rPr>
              <w:t>Options</w:t>
            </w:r>
          </w:p>
        </w:tc>
      </w:tr>
      <w:tr>
        <w:tc>
          <w:tcPr>
            <w:tcW w:type="dxa" w:w="2880"/>
          </w:tcPr>
          <w:p>
            <w:r>
              <w:rPr>
                <w:rFonts w:ascii="Calibri" w:hAnsi="Calibri"/>
                <w:sz w:val="18"/>
              </w:rPr>
              <w:t>PS Model</w:t>
            </w:r>
          </w:p>
        </w:tc>
        <w:tc>
          <w:tcPr>
            <w:tcW w:type="dxa" w:w="2880"/>
          </w:tcPr>
          <w:p>
            <w:r>
              <w:rPr>
                <w:rFonts w:ascii="Calibri" w:hAnsi="Calibri"/>
                <w:sz w:val="18"/>
              </w:rPr>
              <w:t>Logistic Regression</w:t>
            </w:r>
          </w:p>
        </w:tc>
        <w:tc>
          <w:tcPr>
            <w:tcW w:type="dxa" w:w="2880"/>
          </w:tcPr>
          <w:p>
            <w:r>
              <w:rPr>
                <w:rFonts w:ascii="Calibri" w:hAnsi="Calibri"/>
                <w:sz w:val="18"/>
              </w:rPr>
              <w:t>Logistic, GBM, Random Forest, Neural Net</w:t>
            </w:r>
          </w:p>
        </w:tc>
      </w:tr>
      <w:tr>
        <w:tc>
          <w:tcPr>
            <w:tcW w:type="dxa" w:w="2880"/>
            <w:shd w:fill="F0F4FA"/>
          </w:tcPr>
          <w:p>
            <w:r>
              <w:rPr>
                <w:rFonts w:ascii="Calibri" w:hAnsi="Calibri"/>
                <w:sz w:val="18"/>
              </w:rPr>
              <w:t>Weight Type</w:t>
            </w:r>
          </w:p>
        </w:tc>
        <w:tc>
          <w:tcPr>
            <w:tcW w:type="dxa" w:w="2880"/>
            <w:shd w:fill="F0F4FA"/>
          </w:tcPr>
          <w:p>
            <w:r>
              <w:rPr>
                <w:rFonts w:ascii="Calibri" w:hAnsi="Calibri"/>
                <w:sz w:val="18"/>
              </w:rPr>
              <w:t>ATE (unstabilized)</w:t>
            </w:r>
          </w:p>
        </w:tc>
        <w:tc>
          <w:tcPr>
            <w:tcW w:type="dxa" w:w="2880"/>
            <w:shd w:fill="F0F4FA"/>
          </w:tcPr>
          <w:p>
            <w:r>
              <w:rPr>
                <w:rFonts w:ascii="Calibri" w:hAnsi="Calibri"/>
                <w:sz w:val="18"/>
              </w:rPr>
              <w:t>ATE, ATT, ATC, stabilized ATE</w:t>
            </w:r>
          </w:p>
        </w:tc>
      </w:tr>
      <w:tr>
        <w:tc>
          <w:tcPr>
            <w:tcW w:type="dxa" w:w="2880"/>
          </w:tcPr>
          <w:p>
            <w:r>
              <w:rPr>
                <w:rFonts w:ascii="Calibri" w:hAnsi="Calibri"/>
                <w:sz w:val="18"/>
              </w:rPr>
              <w:t>Trimming</w:t>
            </w:r>
          </w:p>
        </w:tc>
        <w:tc>
          <w:tcPr>
            <w:tcW w:type="dxa" w:w="2880"/>
          </w:tcPr>
          <w:p>
            <w:r>
              <w:rPr>
                <w:rFonts w:ascii="Calibri" w:hAnsi="Calibri"/>
                <w:sz w:val="18"/>
              </w:rPr>
              <w:t>None</w:t>
            </w:r>
          </w:p>
        </w:tc>
        <w:tc>
          <w:tcPr>
            <w:tcW w:type="dxa" w:w="2880"/>
          </w:tcPr>
          <w:p>
            <w:r>
              <w:rPr>
                <w:rFonts w:ascii="Calibri" w:hAnsi="Calibri"/>
                <w:sz w:val="18"/>
              </w:rPr>
              <w:t>Symmetric (1st/99th percentile), Crump optimal</w:t>
            </w:r>
          </w:p>
        </w:tc>
      </w:tr>
      <w:tr>
        <w:tc>
          <w:tcPr>
            <w:tcW w:type="dxa" w:w="2880"/>
            <w:shd w:fill="F0F4FA"/>
          </w:tcPr>
          <w:p>
            <w:r>
              <w:rPr>
                <w:rFonts w:ascii="Calibri" w:hAnsi="Calibri"/>
                <w:sz w:val="18"/>
              </w:rPr>
              <w:t>Overlap Assessment</w:t>
            </w:r>
          </w:p>
        </w:tc>
        <w:tc>
          <w:tcPr>
            <w:tcW w:type="dxa" w:w="2880"/>
            <w:shd w:fill="F0F4FA"/>
          </w:tcPr>
          <w:p>
            <w:r>
              <w:rPr>
                <w:rFonts w:ascii="Calibri" w:hAnsi="Calibri"/>
                <w:sz w:val="18"/>
              </w:rPr>
              <w:t>Enabled</w:t>
            </w:r>
          </w:p>
        </w:tc>
        <w:tc>
          <w:tcPr>
            <w:tcW w:type="dxa" w:w="2880"/>
            <w:shd w:fill="F0F4FA"/>
          </w:tcPr>
          <w:p>
            <w:r>
              <w:rPr>
                <w:rFonts w:ascii="Calibri" w:hAnsi="Calibri"/>
                <w:sz w:val="18"/>
              </w:rPr>
              <w:t>Propensity score density overlap plot</w:t>
            </w:r>
          </w:p>
        </w:tc>
      </w:tr>
      <w:tr>
        <w:tc>
          <w:tcPr>
            <w:tcW w:type="dxa" w:w="2880"/>
          </w:tcPr>
          <w:p>
            <w:r>
              <w:rPr>
                <w:rFonts w:ascii="Calibri" w:hAnsi="Calibri"/>
                <w:sz w:val="18"/>
              </w:rPr>
              <w:t>Positivity Check</w:t>
            </w:r>
          </w:p>
        </w:tc>
        <w:tc>
          <w:tcPr>
            <w:tcW w:type="dxa" w:w="2880"/>
          </w:tcPr>
          <w:p>
            <w:r>
              <w:rPr>
                <w:rFonts w:ascii="Calibri" w:hAnsi="Calibri"/>
                <w:sz w:val="18"/>
              </w:rPr>
              <w:t>Enabled</w:t>
            </w:r>
          </w:p>
        </w:tc>
        <w:tc>
          <w:tcPr>
            <w:tcW w:type="dxa" w:w="2880"/>
          </w:tcPr>
          <w:p>
            <w:r>
              <w:rPr>
                <w:rFonts w:ascii="Calibri" w:hAnsi="Calibri"/>
                <w:sz w:val="18"/>
              </w:rPr>
              <w:t>Flags covariates with structural zeros</w:t>
            </w:r>
          </w:p>
        </w:tc>
      </w:tr>
    </w:tbl>
    <w:p/>
    <w:p>
      <w:pPr>
        <w:pStyle w:val="Heading2"/>
      </w:pPr>
      <w:r>
        <w:rPr>
          <w:rFonts w:ascii="Calibri" w:hAnsi="Calibri"/>
          <w:color w:val="1E3A5F"/>
        </w:rPr>
        <w:t>1.3 Propensity Score Methods</w:t>
      </w:r>
    </w:p>
    <w:p>
      <w:r>
        <w:rPr>
          <w:rFonts w:ascii="Calibri" w:hAnsi="Calibri"/>
          <w:b w:val="0"/>
          <w:i w:val="0"/>
          <w:sz w:val="22"/>
        </w:rPr>
        <w:t>Beyond IPTW, Afarensis supports:</w:t>
      </w:r>
    </w:p>
    <w:p>
      <w:pPr>
        <w:pStyle w:val="ListBullet"/>
      </w:pPr>
      <w:r>
        <w:rPr>
          <w:rFonts w:ascii="Calibri" w:hAnsi="Calibri"/>
          <w:sz w:val="22"/>
        </w:rPr>
        <w:t>PS Matching: 1:1 nearest-neighbor with caliper (0.2 * SD of logit PS)</w:t>
      </w:r>
    </w:p>
    <w:p>
      <w:pPr>
        <w:pStyle w:val="ListBullet"/>
      </w:pPr>
      <w:r>
        <w:rPr>
          <w:rFonts w:ascii="Calibri" w:hAnsi="Calibri"/>
          <w:sz w:val="22"/>
        </w:rPr>
        <w:t>PS Stratification: Quintile-based stratification with within-stratum analysis</w:t>
      </w:r>
    </w:p>
    <w:p>
      <w:pPr>
        <w:pStyle w:val="ListBullet"/>
      </w:pPr>
      <w:r>
        <w:rPr>
          <w:rFonts w:ascii="Calibri" w:hAnsi="Calibri"/>
          <w:sz w:val="22"/>
        </w:rPr>
        <w:t>Doubly Robust: Augmented IPTW (AIPTW) combining outcome model with PS weighting</w:t>
      </w:r>
    </w:p>
    <w:p>
      <w:pPr>
        <w:pStyle w:val="ListBullet"/>
      </w:pPr>
      <w:r>
        <w:rPr>
          <w:rFonts w:ascii="Calibri" w:hAnsi="Calibri"/>
          <w:sz w:val="22"/>
        </w:rPr>
        <w:t>Targeted Learning: TMLE with Super Learner ensemble for both PS and outcome models</w:t>
      </w:r>
    </w:p>
    <w:p>
      <w:pPr>
        <w:pStyle w:val="Heading2"/>
      </w:pPr>
      <w:r>
        <w:rPr>
          <w:rFonts w:ascii="Calibri" w:hAnsi="Calibri"/>
          <w:color w:val="1E3A5F"/>
        </w:rPr>
        <w:t>1.4 Missing Data Strategy</w:t>
      </w:r>
    </w:p>
    <w:p>
      <w:r>
        <w:rPr>
          <w:rFonts w:ascii="Calibri" w:hAnsi="Calibri"/>
          <w:b w:val="0"/>
          <w:i w:val="0"/>
          <w:sz w:val="22"/>
        </w:rPr>
        <w:t>Choose between two primary approaches based on the missing data mechanism: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3A5F"/>
          </w:tcPr>
          <w:p>
            <w:r>
              <w:rPr>
                <w:rFonts w:ascii="Calibri" w:hAnsi="Calibri"/>
                <w:b/>
                <w:color w:val="FFFFFF"/>
                <w:sz w:val="20"/>
              </w:rPr>
              <w:t>Method</w:t>
            </w:r>
          </w:p>
        </w:tc>
        <w:tc>
          <w:tcPr>
            <w:tcW w:type="dxa" w:w="2160"/>
            <w:shd w:fill="1E3A5F"/>
          </w:tcPr>
          <w:p>
            <w:r>
              <w:rPr>
                <w:rFonts w:ascii="Calibri" w:hAnsi="Calibri"/>
                <w:b/>
                <w:color w:val="FFFFFF"/>
                <w:sz w:val="20"/>
              </w:rPr>
              <w:t>Assumption</w:t>
            </w:r>
          </w:p>
        </w:tc>
        <w:tc>
          <w:tcPr>
            <w:tcW w:type="dxa" w:w="2160"/>
            <w:shd w:fill="1E3A5F"/>
          </w:tcPr>
          <w:p>
            <w:r>
              <w:rPr>
                <w:rFonts w:ascii="Calibri" w:hAnsi="Calibri"/>
                <w:b/>
                <w:color w:val="FFFFFF"/>
                <w:sz w:val="20"/>
              </w:rPr>
              <w:t>When to Use</w:t>
            </w:r>
          </w:p>
        </w:tc>
        <w:tc>
          <w:tcPr>
            <w:tcW w:type="dxa" w:w="2160"/>
            <w:shd w:fill="1E3A5F"/>
          </w:tcPr>
          <w:p>
            <w:r>
              <w:rPr>
                <w:rFonts w:ascii="Calibri" w:hAnsi="Calibri"/>
                <w:b/>
                <w:color w:val="FFFFFF"/>
                <w:sz w:val="20"/>
              </w:rPr>
              <w:t>API Endpoint</w:t>
            </w:r>
          </w:p>
        </w:tc>
      </w:tr>
      <w:tr>
        <w:tc>
          <w:tcPr>
            <w:tcW w:type="dxa" w:w="2160"/>
          </w:tcPr>
          <w:p>
            <w:r>
              <w:rPr>
                <w:rFonts w:ascii="Calibri" w:hAnsi="Calibri"/>
                <w:sz w:val="18"/>
              </w:rPr>
              <w:t>Multiple Imputation (MI)</w:t>
            </w:r>
          </w:p>
        </w:tc>
        <w:tc>
          <w:tcPr>
            <w:tcW w:type="dxa" w:w="2160"/>
          </w:tcPr>
          <w:p>
            <w:r>
              <w:rPr>
                <w:rFonts w:ascii="Calibri" w:hAnsi="Calibri"/>
                <w:sz w:val="18"/>
              </w:rPr>
              <w:t>MAR</w:t>
            </w:r>
          </w:p>
        </w:tc>
        <w:tc>
          <w:tcPr>
            <w:tcW w:type="dxa" w:w="2160"/>
          </w:tcPr>
          <w:p>
            <w:r>
              <w:rPr>
                <w:rFonts w:ascii="Calibri" w:hAnsi="Calibri"/>
                <w:sz w:val="18"/>
              </w:rPr>
              <w:t>Baseline covariates with &lt; 40% missing</w:t>
            </w:r>
          </w:p>
        </w:tc>
        <w:tc>
          <w:tcPr>
            <w:tcW w:type="dxa" w:w="2160"/>
          </w:tcPr>
          <w:p>
            <w:r>
              <w:rPr>
                <w:rFonts w:ascii="Calibri" w:hAnsi="Calibri"/>
                <w:sz w:val="18"/>
              </w:rPr>
              <w:t>POST .../missing-data/impute</w:t>
            </w:r>
          </w:p>
        </w:tc>
      </w:tr>
      <w:tr>
        <w:tc>
          <w:tcPr>
            <w:tcW w:type="dxa" w:w="2160"/>
            <w:shd w:fill="F0F4FA"/>
          </w:tcPr>
          <w:p>
            <w:r>
              <w:rPr>
                <w:rFonts w:ascii="Calibri" w:hAnsi="Calibri"/>
                <w:sz w:val="18"/>
              </w:rPr>
              <w:t>MMRM</w:t>
            </w:r>
          </w:p>
        </w:tc>
        <w:tc>
          <w:tcPr>
            <w:tcW w:type="dxa" w:w="2160"/>
            <w:shd w:fill="F0F4FA"/>
          </w:tcPr>
          <w:p>
            <w:r>
              <w:rPr>
                <w:rFonts w:ascii="Calibri" w:hAnsi="Calibri"/>
                <w:sz w:val="18"/>
              </w:rPr>
              <w:t>MAR</w:t>
            </w:r>
          </w:p>
        </w:tc>
        <w:tc>
          <w:tcPr>
            <w:tcW w:type="dxa" w:w="2160"/>
            <w:shd w:fill="F0F4FA"/>
          </w:tcPr>
          <w:p>
            <w:r>
              <w:rPr>
                <w:rFonts w:ascii="Calibri" w:hAnsi="Calibri"/>
                <w:sz w:val="18"/>
              </w:rPr>
              <w:t>Longitudinal repeated measures with dropout</w:t>
            </w:r>
          </w:p>
        </w:tc>
        <w:tc>
          <w:tcPr>
            <w:tcW w:type="dxa" w:w="2160"/>
            <w:shd w:fill="F0F4FA"/>
          </w:tcPr>
          <w:p>
            <w:r>
              <w:rPr>
                <w:rFonts w:ascii="Calibri" w:hAnsi="Calibri"/>
                <w:sz w:val="18"/>
              </w:rPr>
              <w:t>POST .../missing-data/mmrm</w:t>
            </w:r>
          </w:p>
        </w:tc>
      </w:tr>
      <w:tr>
        <w:tc>
          <w:tcPr>
            <w:tcW w:type="dxa" w:w="2160"/>
          </w:tcPr>
          <w:p>
            <w:r>
              <w:rPr>
                <w:rFonts w:ascii="Calibri" w:hAnsi="Calibri"/>
                <w:sz w:val="18"/>
              </w:rPr>
              <w:t>Tipping Point</w:t>
            </w:r>
          </w:p>
        </w:tc>
        <w:tc>
          <w:tcPr>
            <w:tcW w:type="dxa" w:w="2160"/>
          </w:tcPr>
          <w:p>
            <w:r>
              <w:rPr>
                <w:rFonts w:ascii="Calibri" w:hAnsi="Calibri"/>
                <w:sz w:val="18"/>
              </w:rPr>
              <w:t>MNAR sensitivity</w:t>
            </w:r>
          </w:p>
        </w:tc>
        <w:tc>
          <w:tcPr>
            <w:tcW w:type="dxa" w:w="2160"/>
          </w:tcPr>
          <w:p>
            <w:r>
              <w:rPr>
                <w:rFonts w:ascii="Calibri" w:hAnsi="Calibri"/>
                <w:sz w:val="18"/>
              </w:rPr>
              <w:t>After MI/MMRM to stress-test results</w:t>
            </w:r>
          </w:p>
        </w:tc>
        <w:tc>
          <w:tcPr>
            <w:tcW w:type="dxa" w:w="2160"/>
          </w:tcPr>
          <w:p>
            <w:r>
              <w:rPr>
                <w:rFonts w:ascii="Calibri" w:hAnsi="Calibri"/>
                <w:sz w:val="18"/>
              </w:rPr>
              <w:t>POST .../missing-data/tipping</w:t>
            </w:r>
          </w:p>
        </w:tc>
      </w:tr>
      <w:tr>
        <w:tc>
          <w:tcPr>
            <w:tcW w:type="dxa" w:w="2160"/>
            <w:shd w:fill="F0F4FA"/>
          </w:tcPr>
          <w:p>
            <w:r>
              <w:rPr>
                <w:rFonts w:ascii="Calibri" w:hAnsi="Calibri"/>
                <w:sz w:val="18"/>
              </w:rPr>
              <w:t>Pattern-Mixture Models</w:t>
            </w:r>
          </w:p>
        </w:tc>
        <w:tc>
          <w:tcPr>
            <w:tcW w:type="dxa" w:w="2160"/>
            <w:shd w:fill="F0F4FA"/>
          </w:tcPr>
          <w:p>
            <w:r>
              <w:rPr>
                <w:rFonts w:ascii="Calibri" w:hAnsi="Calibri"/>
                <w:sz w:val="18"/>
              </w:rPr>
              <w:t>MNAR</w:t>
            </w:r>
          </w:p>
        </w:tc>
        <w:tc>
          <w:tcPr>
            <w:tcW w:type="dxa" w:w="2160"/>
            <w:shd w:fill="F0F4FA"/>
          </w:tcPr>
          <w:p>
            <w:r>
              <w:rPr>
                <w:rFonts w:ascii="Calibri" w:hAnsi="Calibri"/>
                <w:sz w:val="18"/>
              </w:rPr>
              <w:t>When MNAR is suspected clinically</w:t>
            </w:r>
          </w:p>
        </w:tc>
        <w:tc>
          <w:tcPr>
            <w:tcW w:type="dxa" w:w="2160"/>
            <w:shd w:fill="F0F4FA"/>
          </w:tcPr>
          <w:p>
            <w:r>
              <w:rPr>
                <w:rFonts w:ascii="Calibri" w:hAnsi="Calibri"/>
                <w:sz w:val="18"/>
              </w:rPr>
              <w:t>Via custom analysis code</w:t>
            </w:r>
          </w:p>
        </w:tc>
      </w:tr>
    </w:tbl>
    <w:p/>
    <w:p>
      <w:r>
        <w:rPr>
          <w:rFonts w:ascii="Calibri" w:hAnsi="Calibri"/>
          <w:b w:val="0"/>
          <w:i w:val="0"/>
          <w:sz w:val="22"/>
        </w:rPr>
        <w:t>MI uses Rubin's rules to combine estimates across m=20 imputed datasets (configurable). The imputation model includes all analysis variables plus auxiliary variables predictive of missingness.</w:t>
      </w:r>
    </w:p>
    <w:p>
      <w:pPr>
        <w:pStyle w:val="Heading2"/>
      </w:pPr>
      <w:r>
        <w:rPr>
          <w:rFonts w:ascii="Calibri" w:hAnsi="Calibri"/>
          <w:color w:val="1E3A5F"/>
        </w:rPr>
        <w:t>1.5 Multiplicity Adjustment</w:t>
      </w:r>
    </w:p>
    <w:p>
      <w:r>
        <w:rPr>
          <w:rFonts w:ascii="Calibri" w:hAnsi="Calibri"/>
          <w:b w:val="0"/>
          <w:i w:val="0"/>
          <w:sz w:val="22"/>
        </w:rPr>
        <w:t>Select the appropriate method based on the regulatory context and endpoint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rFonts w:ascii="Calibri" w:hAnsi="Calibri"/>
                <w:b/>
                <w:color w:val="FFFFFF"/>
                <w:sz w:val="20"/>
              </w:rPr>
              <w:t>Method</w:t>
            </w:r>
          </w:p>
        </w:tc>
        <w:tc>
          <w:tcPr>
            <w:tcW w:type="dxa" w:w="2880"/>
            <w:shd w:fill="1E3A5F"/>
          </w:tcPr>
          <w:p>
            <w:r>
              <w:rPr>
                <w:rFonts w:ascii="Calibri" w:hAnsi="Calibri"/>
                <w:b/>
                <w:color w:val="FFFFFF"/>
                <w:sz w:val="20"/>
              </w:rPr>
              <w:t>Controls</w:t>
            </w:r>
          </w:p>
        </w:tc>
        <w:tc>
          <w:tcPr>
            <w:tcW w:type="dxa" w:w="2880"/>
            <w:shd w:fill="1E3A5F"/>
          </w:tcPr>
          <w:p>
            <w:r>
              <w:rPr>
                <w:rFonts w:ascii="Calibri" w:hAnsi="Calibri"/>
                <w:b/>
                <w:color w:val="FFFFFF"/>
                <w:sz w:val="20"/>
              </w:rPr>
              <w:t>Use Case</w:t>
            </w:r>
          </w:p>
        </w:tc>
      </w:tr>
      <w:tr>
        <w:tc>
          <w:tcPr>
            <w:tcW w:type="dxa" w:w="2880"/>
          </w:tcPr>
          <w:p>
            <w:r>
              <w:rPr>
                <w:rFonts w:ascii="Calibri" w:hAnsi="Calibri"/>
                <w:sz w:val="18"/>
              </w:rPr>
              <w:t>Bonferroni</w:t>
            </w:r>
          </w:p>
        </w:tc>
        <w:tc>
          <w:tcPr>
            <w:tcW w:type="dxa" w:w="2880"/>
          </w:tcPr>
          <w:p>
            <w:r>
              <w:rPr>
                <w:rFonts w:ascii="Calibri" w:hAnsi="Calibri"/>
                <w:sz w:val="18"/>
              </w:rPr>
              <w:t>FWER</w:t>
            </w:r>
          </w:p>
        </w:tc>
        <w:tc>
          <w:tcPr>
            <w:tcW w:type="dxa" w:w="2880"/>
          </w:tcPr>
          <w:p>
            <w:r>
              <w:rPr>
                <w:rFonts w:ascii="Calibri" w:hAnsi="Calibri"/>
                <w:sz w:val="18"/>
              </w:rPr>
              <w:t>Conservative; independent or correlated tests</w:t>
            </w:r>
          </w:p>
        </w:tc>
      </w:tr>
      <w:tr>
        <w:tc>
          <w:tcPr>
            <w:tcW w:type="dxa" w:w="2880"/>
            <w:shd w:fill="F0F4FA"/>
          </w:tcPr>
          <w:p>
            <w:r>
              <w:rPr>
                <w:rFonts w:ascii="Calibri" w:hAnsi="Calibri"/>
                <w:sz w:val="18"/>
              </w:rPr>
              <w:t>Holm (step-down)</w:t>
            </w:r>
          </w:p>
        </w:tc>
        <w:tc>
          <w:tcPr>
            <w:tcW w:type="dxa" w:w="2880"/>
            <w:shd w:fill="F0F4FA"/>
          </w:tcPr>
          <w:p>
            <w:r>
              <w:rPr>
                <w:rFonts w:ascii="Calibri" w:hAnsi="Calibri"/>
                <w:sz w:val="18"/>
              </w:rPr>
              <w:t>FWER</w:t>
            </w:r>
          </w:p>
        </w:tc>
        <w:tc>
          <w:tcPr>
            <w:tcW w:type="dxa" w:w="2880"/>
            <w:shd w:fill="F0F4FA"/>
          </w:tcPr>
          <w:p>
            <w:r>
              <w:rPr>
                <w:rFonts w:ascii="Calibri" w:hAnsi="Calibri"/>
                <w:sz w:val="18"/>
              </w:rPr>
              <w:t>Uniformly more powerful than Bonferroni</w:t>
            </w:r>
          </w:p>
        </w:tc>
      </w:tr>
      <w:tr>
        <w:tc>
          <w:tcPr>
            <w:tcW w:type="dxa" w:w="2880"/>
          </w:tcPr>
          <w:p>
            <w:r>
              <w:rPr>
                <w:rFonts w:ascii="Calibri" w:hAnsi="Calibri"/>
                <w:sz w:val="18"/>
              </w:rPr>
              <w:t>Hochberg (step-up)</w:t>
            </w:r>
          </w:p>
        </w:tc>
        <w:tc>
          <w:tcPr>
            <w:tcW w:type="dxa" w:w="2880"/>
          </w:tcPr>
          <w:p>
            <w:r>
              <w:rPr>
                <w:rFonts w:ascii="Calibri" w:hAnsi="Calibri"/>
                <w:sz w:val="18"/>
              </w:rPr>
              <w:t>FWER</w:t>
            </w:r>
          </w:p>
        </w:tc>
        <w:tc>
          <w:tcPr>
            <w:tcW w:type="dxa" w:w="2880"/>
          </w:tcPr>
          <w:p>
            <w:r>
              <w:rPr>
                <w:rFonts w:ascii="Calibri" w:hAnsi="Calibri"/>
                <w:sz w:val="18"/>
              </w:rPr>
              <w:t>Requires independence or positive dependence</w:t>
            </w:r>
          </w:p>
        </w:tc>
      </w:tr>
      <w:tr>
        <w:tc>
          <w:tcPr>
            <w:tcW w:type="dxa" w:w="2880"/>
            <w:shd w:fill="F0F4FA"/>
          </w:tcPr>
          <w:p>
            <w:r>
              <w:rPr>
                <w:rFonts w:ascii="Calibri" w:hAnsi="Calibri"/>
                <w:sz w:val="18"/>
              </w:rPr>
              <w:t>Benjamini-Hochberg</w:t>
            </w:r>
          </w:p>
        </w:tc>
        <w:tc>
          <w:tcPr>
            <w:tcW w:type="dxa" w:w="2880"/>
            <w:shd w:fill="F0F4FA"/>
          </w:tcPr>
          <w:p>
            <w:r>
              <w:rPr>
                <w:rFonts w:ascii="Calibri" w:hAnsi="Calibri"/>
                <w:sz w:val="18"/>
              </w:rPr>
              <w:t>FDR</w:t>
            </w:r>
          </w:p>
        </w:tc>
        <w:tc>
          <w:tcPr>
            <w:tcW w:type="dxa" w:w="2880"/>
            <w:shd w:fill="F0F4FA"/>
          </w:tcPr>
          <w:p>
            <w:r>
              <w:rPr>
                <w:rFonts w:ascii="Calibri" w:hAnsi="Calibri"/>
                <w:sz w:val="18"/>
              </w:rPr>
              <w:t>Exploratory subgroup analyses</w:t>
            </w:r>
          </w:p>
        </w:tc>
      </w:tr>
      <w:tr>
        <w:tc>
          <w:tcPr>
            <w:tcW w:type="dxa" w:w="2880"/>
          </w:tcPr>
          <w:p>
            <w:r>
              <w:rPr>
                <w:rFonts w:ascii="Calibri" w:hAnsi="Calibri"/>
                <w:sz w:val="18"/>
              </w:rPr>
              <w:t>Fixed-Sequence</w:t>
            </w:r>
          </w:p>
        </w:tc>
        <w:tc>
          <w:tcPr>
            <w:tcW w:type="dxa" w:w="2880"/>
          </w:tcPr>
          <w:p>
            <w:r>
              <w:rPr>
                <w:rFonts w:ascii="Calibri" w:hAnsi="Calibri"/>
                <w:sz w:val="18"/>
              </w:rPr>
              <w:t>FWER</w:t>
            </w:r>
          </w:p>
        </w:tc>
        <w:tc>
          <w:tcPr>
            <w:tcW w:type="dxa" w:w="2880"/>
          </w:tcPr>
          <w:p>
            <w:r>
              <w:rPr>
                <w:rFonts w:ascii="Calibri" w:hAnsi="Calibri"/>
                <w:sz w:val="18"/>
              </w:rPr>
              <w:t>Pre-specified testing hierarchy (primary, then key secondary)</w:t>
            </w:r>
          </w:p>
        </w:tc>
      </w:tr>
      <w:tr>
        <w:tc>
          <w:tcPr>
            <w:tcW w:type="dxa" w:w="2880"/>
            <w:shd w:fill="F0F4FA"/>
          </w:tcPr>
          <w:p>
            <w:r>
              <w:rPr>
                <w:rFonts w:ascii="Calibri" w:hAnsi="Calibri"/>
                <w:sz w:val="18"/>
              </w:rPr>
              <w:t>Graphical (Bretz)</w:t>
            </w:r>
          </w:p>
        </w:tc>
        <w:tc>
          <w:tcPr>
            <w:tcW w:type="dxa" w:w="2880"/>
            <w:shd w:fill="F0F4FA"/>
          </w:tcPr>
          <w:p>
            <w:r>
              <w:rPr>
                <w:rFonts w:ascii="Calibri" w:hAnsi="Calibri"/>
                <w:sz w:val="18"/>
              </w:rPr>
              <w:t>FWER</w:t>
            </w:r>
          </w:p>
        </w:tc>
        <w:tc>
          <w:tcPr>
            <w:tcW w:type="dxa" w:w="2880"/>
            <w:shd w:fill="F0F4FA"/>
          </w:tcPr>
          <w:p>
            <w:r>
              <w:rPr>
                <w:rFonts w:ascii="Calibri" w:hAnsi="Calibri"/>
                <w:sz w:val="18"/>
              </w:rPr>
              <w:t>Complex endpoint hierarchies with hypothesis recycling</w:t>
            </w:r>
          </w:p>
        </w:tc>
      </w:tr>
    </w:tbl>
    <w:p/>
    <w:p>
      <w:pPr>
        <w:pStyle w:val="Heading2"/>
      </w:pPr>
      <w:r>
        <w:rPr>
          <w:rFonts w:ascii="Calibri" w:hAnsi="Calibri"/>
          <w:color w:val="1E3A5F"/>
        </w:rPr>
        <w:t>1.6 Sensitivity Analysis Catalog</w:t>
      </w:r>
    </w:p>
    <w:p>
      <w:r>
        <w:rPr>
          <w:rFonts w:ascii="Calibri" w:hAnsi="Calibri"/>
          <w:b w:val="0"/>
          <w:i w:val="0"/>
          <w:sz w:val="22"/>
        </w:rPr>
        <w:t>The platform provides a pre-configured catalog of sensitivity analyses recommended by ICH E9(R1):</w:t>
      </w:r>
    </w:p>
    <w:p>
      <w:pPr>
        <w:pStyle w:val="ListBullet"/>
      </w:pPr>
      <w:r>
        <w:rPr>
          <w:rFonts w:ascii="Calibri" w:hAnsi="Calibri"/>
          <w:sz w:val="22"/>
        </w:rPr>
        <w:t>Per-Protocol Analysis: Excludes protocol violators</w:t>
      </w:r>
    </w:p>
    <w:p>
      <w:pPr>
        <w:pStyle w:val="ListBullet"/>
      </w:pPr>
      <w:r>
        <w:rPr>
          <w:rFonts w:ascii="Calibri" w:hAnsi="Calibri"/>
          <w:sz w:val="22"/>
        </w:rPr>
        <w:t>As-Treated Analysis: Classifies by actual treatment received</w:t>
      </w:r>
    </w:p>
    <w:p>
      <w:pPr>
        <w:pStyle w:val="ListBullet"/>
      </w:pPr>
      <w:r>
        <w:rPr>
          <w:rFonts w:ascii="Calibri" w:hAnsi="Calibri"/>
          <w:sz w:val="22"/>
        </w:rPr>
        <w:t>Tipping-Point Analysis: Determines how many events in the treatment arm would need to be reversed to nullify the result</w:t>
      </w:r>
    </w:p>
    <w:p>
      <w:pPr>
        <w:pStyle w:val="ListBullet"/>
      </w:pPr>
      <w:r>
        <w:rPr>
          <w:rFonts w:ascii="Calibri" w:hAnsi="Calibri"/>
          <w:sz w:val="22"/>
        </w:rPr>
        <w:t>E-Value Analysis: Quantifies robustness to unmeasured confounding</w:t>
      </w:r>
    </w:p>
    <w:p>
      <w:pPr>
        <w:pStyle w:val="ListBullet"/>
      </w:pPr>
      <w:r>
        <w:rPr>
          <w:rFonts w:ascii="Calibri" w:hAnsi="Calibri"/>
          <w:sz w:val="22"/>
        </w:rPr>
        <w:t>Rosenbaum Bounds: Tests sensitivity to hidden bias at various Gamma values</w:t>
      </w:r>
    </w:p>
    <w:p>
      <w:pPr>
        <w:pStyle w:val="ListBullet"/>
      </w:pPr>
      <w:r>
        <w:rPr>
          <w:rFonts w:ascii="Calibri" w:hAnsi="Calibri"/>
          <w:sz w:val="22"/>
        </w:rPr>
        <w:t>Negative Control Outcomes: Uses outcomes known to be unaffected by treatment as a falsification test</w:t>
      </w:r>
    </w:p>
    <w:p>
      <w:pPr>
        <w:pStyle w:val="ListBullet"/>
      </w:pPr>
      <w:r>
        <w:rPr>
          <w:rFonts w:ascii="Calibri" w:hAnsi="Calibri"/>
          <w:sz w:val="22"/>
        </w:rPr>
        <w:t>Quantitative Bias Analysis: Specifies bias parameters and adjusts estimates</w:t>
      </w:r>
    </w:p>
    <w:p>
      <w:pPr>
        <w:pStyle w:val="Heading2"/>
      </w:pPr>
      <w:r>
        <w:rPr>
          <w:rFonts w:ascii="Calibri" w:hAnsi="Calibri"/>
          <w:color w:val="1E3A5F"/>
        </w:rPr>
        <w:t>1.7 SAP Authoring Workflow</w:t>
      </w:r>
    </w:p>
    <w:p>
      <w:r>
        <w:rPr>
          <w:rFonts w:ascii="Calibri" w:hAnsi="Calibri"/>
          <w:b w:val="0"/>
          <w:i w:val="0"/>
          <w:sz w:val="22"/>
        </w:rPr>
        <w:t>The SAP generation endpoint (POST .../study/sap/generate) produces a Statistical Analysis Plan populated from the study definition and analysis configuration:</w:t>
      </w:r>
    </w:p>
    <w:p>
      <w:pPr>
        <w:pStyle w:val="ListBullet"/>
      </w:pPr>
      <w:r>
        <w:rPr>
          <w:rFonts w:ascii="Calibri" w:hAnsi="Calibri"/>
          <w:sz w:val="22"/>
        </w:rPr>
        <w:t>Section 1: Study Objectives and Endpoints (from study definition)</w:t>
      </w:r>
    </w:p>
    <w:p>
      <w:pPr>
        <w:pStyle w:val="ListBullet"/>
      </w:pPr>
      <w:r>
        <w:rPr>
          <w:rFonts w:ascii="Calibri" w:hAnsi="Calibri"/>
          <w:sz w:val="22"/>
        </w:rPr>
        <w:t>Section 2: Study Design (from study definition)</w:t>
      </w:r>
    </w:p>
    <w:p>
      <w:pPr>
        <w:pStyle w:val="ListBullet"/>
      </w:pPr>
      <w:r>
        <w:rPr>
          <w:rFonts w:ascii="Calibri" w:hAnsi="Calibri"/>
          <w:sz w:val="22"/>
        </w:rPr>
        <w:t>Section 3: Analysis Populations (ITT, mITT, PP, Safety)</w:t>
      </w:r>
    </w:p>
    <w:p>
      <w:pPr>
        <w:pStyle w:val="ListBullet"/>
      </w:pPr>
      <w:r>
        <w:rPr>
          <w:rFonts w:ascii="Calibri" w:hAnsi="Calibri"/>
          <w:sz w:val="22"/>
        </w:rPr>
        <w:t>Section 4: Statistical Methods (from effect estimation configuration)</w:t>
      </w:r>
    </w:p>
    <w:p>
      <w:pPr>
        <w:pStyle w:val="ListBullet"/>
      </w:pPr>
      <w:r>
        <w:rPr>
          <w:rFonts w:ascii="Calibri" w:hAnsi="Calibri"/>
          <w:sz w:val="22"/>
        </w:rPr>
        <w:t>Section 5: Missing Data Handling (from missing data strategy)</w:t>
      </w:r>
    </w:p>
    <w:p>
      <w:pPr>
        <w:pStyle w:val="ListBullet"/>
      </w:pPr>
      <w:r>
        <w:rPr>
          <w:rFonts w:ascii="Calibri" w:hAnsi="Calibri"/>
          <w:sz w:val="22"/>
        </w:rPr>
        <w:t>Section 6: Sensitivity Analyses (from sensitivity catalog selections)</w:t>
      </w:r>
    </w:p>
    <w:p>
      <w:pPr>
        <w:pStyle w:val="ListBullet"/>
      </w:pPr>
      <w:r>
        <w:rPr>
          <w:rFonts w:ascii="Calibri" w:hAnsi="Calibri"/>
          <w:sz w:val="22"/>
        </w:rPr>
        <w:t>Section 7: Subgroup Analyses (from pre-specified subgroups)</w:t>
      </w:r>
    </w:p>
    <w:p>
      <w:pPr>
        <w:pStyle w:val="ListBullet"/>
      </w:pPr>
      <w:r>
        <w:rPr>
          <w:rFonts w:ascii="Calibri" w:hAnsi="Calibri"/>
          <w:sz w:val="22"/>
        </w:rPr>
        <w:t>Section 8: Multiplicity Adjustment (from multiplicity configuration)</w:t>
      </w:r>
    </w:p>
    <w:p>
      <w:pPr>
        <w:pStyle w:val="ListBullet"/>
      </w:pPr>
      <w:r>
        <w:rPr>
          <w:rFonts w:ascii="Calibri" w:hAnsi="Calibri"/>
          <w:sz w:val="22"/>
        </w:rPr>
        <w:t>Section 9: TFL Shells (from TFL configuration)</w:t>
      </w:r>
    </w:p>
    <w:p>
      <w:pPr>
        <w:pStyle w:val="Heading1"/>
      </w:pPr>
      <w:r>
        <w:rPr>
          <w:rFonts w:ascii="Calibri" w:hAnsi="Calibri"/>
          <w:color w:val="1E3A5F"/>
        </w:rPr>
        <w:t>2. For HEOR Professionals</w:t>
      </w:r>
    </w:p>
    <w:p>
      <w:pPr>
        <w:pStyle w:val="Heading2"/>
      </w:pPr>
      <w:r>
        <w:rPr>
          <w:rFonts w:ascii="Calibri" w:hAnsi="Calibri"/>
          <w:color w:val="1E3A5F"/>
        </w:rPr>
        <w:t>2.1 Comparative Effectiveness Setup</w:t>
      </w:r>
    </w:p>
    <w:p>
      <w:r>
        <w:rPr>
          <w:rFonts w:ascii="Calibri" w:hAnsi="Calibri"/>
          <w:b w:val="0"/>
          <w:i w:val="0"/>
          <w:sz w:val="22"/>
        </w:rPr>
        <w:t>Configure a comparative effectiveness research (CER) study by selecting 'Observational Cohort' as the study design. The system adapts the workflow to include target trial emulation parameters: eligibility criteria alignment, treatment strategy specification, outcome definition matching, and time-zero definition.</w:t>
      </w:r>
    </w:p>
    <w:p>
      <w:pPr>
        <w:pStyle w:val="Heading2"/>
      </w:pPr>
      <w:r>
        <w:rPr>
          <w:rFonts w:ascii="Calibri" w:hAnsi="Calibri"/>
          <w:color w:val="1E3A5F"/>
        </w:rPr>
        <w:t>2.2 External Control Arms</w:t>
      </w:r>
    </w:p>
    <w:p>
      <w:r>
        <w:rPr>
          <w:rFonts w:ascii="Calibri" w:hAnsi="Calibri"/>
          <w:b w:val="0"/>
          <w:i w:val="0"/>
          <w:sz w:val="22"/>
        </w:rPr>
        <w:t>To construct an external control arm from real-world data:</w:t>
      </w:r>
    </w:p>
    <w:p>
      <w:pPr>
        <w:pStyle w:val="ListBullet"/>
      </w:pPr>
      <w:r>
        <w:rPr>
          <w:rFonts w:ascii="Calibri" w:hAnsi="Calibri"/>
          <w:sz w:val="22"/>
        </w:rPr>
        <w:t>Define the target trial eligibility criteria in the cohort construction step</w:t>
      </w:r>
    </w:p>
    <w:p>
      <w:pPr>
        <w:pStyle w:val="ListBullet"/>
      </w:pPr>
      <w:r>
        <w:rPr>
          <w:rFonts w:ascii="Calibri" w:hAnsi="Calibri"/>
          <w:sz w:val="22"/>
        </w:rPr>
        <w:t>Import external data sources (CSV/SAS7BDAT) through the upload endpoint</w:t>
      </w:r>
    </w:p>
    <w:p>
      <w:pPr>
        <w:pStyle w:val="ListBullet"/>
      </w:pPr>
      <w:r>
        <w:rPr>
          <w:rFonts w:ascii="Calibri" w:hAnsi="Calibri"/>
          <w:sz w:val="22"/>
        </w:rPr>
        <w:t>The system matches external patients to trial inclusion/exclusion criteria</w:t>
      </w:r>
    </w:p>
    <w:p>
      <w:pPr>
        <w:pStyle w:val="ListBullet"/>
      </w:pPr>
      <w:r>
        <w:rPr>
          <w:rFonts w:ascii="Calibri" w:hAnsi="Calibri"/>
          <w:sz w:val="22"/>
        </w:rPr>
        <w:t>Propensity score adjustment accounts for confounding between trial and external arms</w:t>
      </w:r>
    </w:p>
    <w:p>
      <w:pPr>
        <w:pStyle w:val="Heading2"/>
      </w:pPr>
      <w:r>
        <w:rPr>
          <w:rFonts w:ascii="Calibri" w:hAnsi="Calibri"/>
          <w:color w:val="1E3A5F"/>
        </w:rPr>
        <w:t>2.3 Evidence Synthesis from Multiple Databases</w:t>
      </w:r>
    </w:p>
    <w:p>
      <w:r>
        <w:rPr>
          <w:rFonts w:ascii="Calibri" w:hAnsi="Calibri"/>
          <w:b w:val="0"/>
          <w:i w:val="0"/>
          <w:sz w:val="22"/>
        </w:rPr>
        <w:t>Afarensis searches five evidence databases simultaneously, then deduplicates results by DOI matching and title similarity (&gt; 0.85 cosine similarity threshold). The merged evidence set preserves provenance metadata so you can trace each record back to its source API response.</w:t>
      </w:r>
    </w:p>
    <w:p>
      <w:pPr>
        <w:pStyle w:val="Heading2"/>
      </w:pPr>
      <w:r>
        <w:rPr>
          <w:rFonts w:ascii="Calibri" w:hAnsi="Calibri"/>
          <w:color w:val="1E3A5F"/>
        </w:rPr>
        <w:t>2.4 Publication Bias Assessment</w:t>
      </w:r>
    </w:p>
    <w:p>
      <w:r>
        <w:rPr>
          <w:rFonts w:ascii="Calibri" w:hAnsi="Calibri"/>
          <w:b w:val="0"/>
          <w:i w:val="0"/>
          <w:sz w:val="22"/>
        </w:rPr>
        <w:t>The bias analysis step includes publication bias assessment via:</w:t>
      </w:r>
    </w:p>
    <w:p>
      <w:pPr>
        <w:pStyle w:val="ListBullet"/>
      </w:pPr>
      <w:r>
        <w:rPr>
          <w:rFonts w:ascii="Calibri" w:hAnsi="Calibri"/>
          <w:sz w:val="22"/>
        </w:rPr>
        <w:t>Funnel plot asymmetry (visual inspection)</w:t>
      </w:r>
    </w:p>
    <w:p>
      <w:pPr>
        <w:pStyle w:val="ListBullet"/>
      </w:pPr>
      <w:r>
        <w:rPr>
          <w:rFonts w:ascii="Calibri" w:hAnsi="Calibri"/>
          <w:sz w:val="22"/>
        </w:rPr>
        <w:t>Egger's regression test for small-study effects</w:t>
      </w:r>
    </w:p>
    <w:p>
      <w:pPr>
        <w:pStyle w:val="ListBullet"/>
      </w:pPr>
      <w:r>
        <w:rPr>
          <w:rFonts w:ascii="Calibri" w:hAnsi="Calibri"/>
          <w:sz w:val="22"/>
        </w:rPr>
        <w:t>Trim-and-fill method for estimating missing studies</w:t>
      </w:r>
    </w:p>
    <w:p>
      <w:pPr>
        <w:pStyle w:val="ListBullet"/>
      </w:pPr>
      <w:r>
        <w:rPr>
          <w:rFonts w:ascii="Calibri" w:hAnsi="Calibri"/>
          <w:sz w:val="22"/>
        </w:rPr>
        <w:t>Selection model approaches (Vevea-Hedges weight function)</w:t>
      </w:r>
    </w:p>
    <w:p>
      <w:pPr>
        <w:pStyle w:val="Heading1"/>
      </w:pPr>
      <w:r>
        <w:rPr>
          <w:rFonts w:ascii="Calibri" w:hAnsi="Calibri"/>
          <w:color w:val="1E3A5F"/>
        </w:rPr>
        <w:t>3. For Regulatory Writers</w:t>
      </w:r>
    </w:p>
    <w:p>
      <w:pPr>
        <w:pStyle w:val="Heading2"/>
      </w:pPr>
      <w:r>
        <w:rPr>
          <w:rFonts w:ascii="Calibri" w:hAnsi="Calibri"/>
          <w:color w:val="1E3A5F"/>
        </w:rPr>
        <w:t>3.1 CSR Section Mapping</w:t>
      </w:r>
    </w:p>
    <w:p>
      <w:r>
        <w:rPr>
          <w:rFonts w:ascii="Calibri" w:hAnsi="Calibri"/>
          <w:b w:val="0"/>
          <w:i w:val="0"/>
          <w:sz w:val="22"/>
        </w:rPr>
        <w:t>The CSR generator follows ICH E3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rFonts w:ascii="Calibri" w:hAnsi="Calibri"/>
                <w:b/>
                <w:color w:val="FFFFFF"/>
                <w:sz w:val="20"/>
              </w:rPr>
              <w:t>ICH Section</w:t>
            </w:r>
          </w:p>
        </w:tc>
        <w:tc>
          <w:tcPr>
            <w:tcW w:type="dxa" w:w="2880"/>
            <w:shd w:fill="1E3A5F"/>
          </w:tcPr>
          <w:p>
            <w:r>
              <w:rPr>
                <w:rFonts w:ascii="Calibri" w:hAnsi="Calibri"/>
                <w:b/>
                <w:color w:val="FFFFFF"/>
                <w:sz w:val="20"/>
              </w:rPr>
              <w:t>Content</w:t>
            </w:r>
          </w:p>
        </w:tc>
        <w:tc>
          <w:tcPr>
            <w:tcW w:type="dxa" w:w="2880"/>
            <w:shd w:fill="1E3A5F"/>
          </w:tcPr>
          <w:p>
            <w:r>
              <w:rPr>
                <w:rFonts w:ascii="Calibri" w:hAnsi="Calibri"/>
                <w:b/>
                <w:color w:val="FFFFFF"/>
                <w:sz w:val="20"/>
              </w:rPr>
              <w:t>Afarensis Endpoint</w:t>
            </w:r>
          </w:p>
        </w:tc>
      </w:tr>
      <w:tr>
        <w:tc>
          <w:tcPr>
            <w:tcW w:type="dxa" w:w="2880"/>
          </w:tcPr>
          <w:p>
            <w:r>
              <w:rPr>
                <w:rFonts w:ascii="Calibri" w:hAnsi="Calibri"/>
                <w:sz w:val="18"/>
              </w:rPr>
              <w:t>Synopsis</w:t>
            </w:r>
          </w:p>
        </w:tc>
        <w:tc>
          <w:tcPr>
            <w:tcW w:type="dxa" w:w="2880"/>
          </w:tcPr>
          <w:p>
            <w:r>
              <w:rPr>
                <w:rFonts w:ascii="Calibri" w:hAnsi="Calibri"/>
                <w:sz w:val="18"/>
              </w:rPr>
              <w:t>One-page study summary</w:t>
            </w:r>
          </w:p>
        </w:tc>
        <w:tc>
          <w:tcPr>
            <w:tcW w:type="dxa" w:w="2880"/>
          </w:tcPr>
          <w:p>
            <w:r>
              <w:rPr>
                <w:rFonts w:ascii="Calibri" w:hAnsi="Calibri"/>
                <w:sz w:val="18"/>
              </w:rPr>
              <w:t>POST .../csr/synopsis</w:t>
            </w:r>
          </w:p>
        </w:tc>
      </w:tr>
      <w:tr>
        <w:tc>
          <w:tcPr>
            <w:tcW w:type="dxa" w:w="2880"/>
            <w:shd w:fill="F0F4FA"/>
          </w:tcPr>
          <w:p>
            <w:r>
              <w:rPr>
                <w:rFonts w:ascii="Calibri" w:hAnsi="Calibri"/>
                <w:sz w:val="18"/>
              </w:rPr>
              <w:t>Section 11</w:t>
            </w:r>
          </w:p>
        </w:tc>
        <w:tc>
          <w:tcPr>
            <w:tcW w:type="dxa" w:w="2880"/>
            <w:shd w:fill="F0F4FA"/>
          </w:tcPr>
          <w:p>
            <w:r>
              <w:rPr>
                <w:rFonts w:ascii="Calibri" w:hAnsi="Calibri"/>
                <w:sz w:val="18"/>
              </w:rPr>
              <w:t>Efficacy evaluation</w:t>
            </w:r>
          </w:p>
        </w:tc>
        <w:tc>
          <w:tcPr>
            <w:tcW w:type="dxa" w:w="2880"/>
            <w:shd w:fill="F0F4FA"/>
          </w:tcPr>
          <w:p>
            <w:r>
              <w:rPr>
                <w:rFonts w:ascii="Calibri" w:hAnsi="Calibri"/>
                <w:sz w:val="18"/>
              </w:rPr>
              <w:t>POST .../csr/section-11</w:t>
            </w:r>
          </w:p>
        </w:tc>
      </w:tr>
      <w:tr>
        <w:tc>
          <w:tcPr>
            <w:tcW w:type="dxa" w:w="2880"/>
          </w:tcPr>
          <w:p>
            <w:r>
              <w:rPr>
                <w:rFonts w:ascii="Calibri" w:hAnsi="Calibri"/>
                <w:sz w:val="18"/>
              </w:rPr>
              <w:t>Section 12</w:t>
            </w:r>
          </w:p>
        </w:tc>
        <w:tc>
          <w:tcPr>
            <w:tcW w:type="dxa" w:w="2880"/>
          </w:tcPr>
          <w:p>
            <w:r>
              <w:rPr>
                <w:rFonts w:ascii="Calibri" w:hAnsi="Calibri"/>
                <w:sz w:val="18"/>
              </w:rPr>
              <w:t>Safety evaluation</w:t>
            </w:r>
          </w:p>
        </w:tc>
        <w:tc>
          <w:tcPr>
            <w:tcW w:type="dxa" w:w="2880"/>
          </w:tcPr>
          <w:p>
            <w:r>
              <w:rPr>
                <w:rFonts w:ascii="Calibri" w:hAnsi="Calibri"/>
                <w:sz w:val="18"/>
              </w:rPr>
              <w:t>POST .../csr/section-12</w:t>
            </w:r>
          </w:p>
        </w:tc>
      </w:tr>
      <w:tr>
        <w:tc>
          <w:tcPr>
            <w:tcW w:type="dxa" w:w="2880"/>
            <w:shd w:fill="F0F4FA"/>
          </w:tcPr>
          <w:p>
            <w:r>
              <w:rPr>
                <w:rFonts w:ascii="Calibri" w:hAnsi="Calibri"/>
                <w:sz w:val="18"/>
              </w:rPr>
              <w:t>Section 16</w:t>
            </w:r>
          </w:p>
        </w:tc>
        <w:tc>
          <w:tcPr>
            <w:tcW w:type="dxa" w:w="2880"/>
            <w:shd w:fill="F0F4FA"/>
          </w:tcPr>
          <w:p>
            <w:r>
              <w:rPr>
                <w:rFonts w:ascii="Calibri" w:hAnsi="Calibri"/>
                <w:sz w:val="18"/>
              </w:rPr>
              <w:t>Appendices (individual data)</w:t>
            </w:r>
          </w:p>
        </w:tc>
        <w:tc>
          <w:tcPr>
            <w:tcW w:type="dxa" w:w="2880"/>
            <w:shd w:fill="F0F4FA"/>
          </w:tcPr>
          <w:p>
            <w:r>
              <w:rPr>
                <w:rFonts w:ascii="Calibri" w:hAnsi="Calibri"/>
                <w:sz w:val="18"/>
              </w:rPr>
              <w:t>POST .../csr/appendix-16</w:t>
            </w:r>
          </w:p>
        </w:tc>
      </w:tr>
      <w:tr>
        <w:tc>
          <w:tcPr>
            <w:tcW w:type="dxa" w:w="2880"/>
          </w:tcPr>
          <w:p>
            <w:r>
              <w:rPr>
                <w:rFonts w:ascii="Calibri" w:hAnsi="Calibri"/>
                <w:sz w:val="18"/>
              </w:rPr>
              <w:t>Full CSR</w:t>
            </w:r>
          </w:p>
        </w:tc>
        <w:tc>
          <w:tcPr>
            <w:tcW w:type="dxa" w:w="2880"/>
          </w:tcPr>
          <w:p>
            <w:r>
              <w:rPr>
                <w:rFonts w:ascii="Calibri" w:hAnsi="Calibri"/>
                <w:sz w:val="18"/>
              </w:rPr>
              <w:t>All sections combined</w:t>
            </w:r>
          </w:p>
        </w:tc>
        <w:tc>
          <w:tcPr>
            <w:tcW w:type="dxa" w:w="2880"/>
          </w:tcPr>
          <w:p>
            <w:r>
              <w:rPr>
                <w:rFonts w:ascii="Calibri" w:hAnsi="Calibri"/>
                <w:sz w:val="18"/>
              </w:rPr>
              <w:t>POST .../csr/full</w:t>
            </w:r>
          </w:p>
        </w:tc>
      </w:tr>
    </w:tbl>
    <w:p/>
    <w:p>
      <w:pPr>
        <w:pStyle w:val="Heading2"/>
      </w:pPr>
      <w:r>
        <w:rPr>
          <w:rFonts w:ascii="Calibri" w:hAnsi="Calibri"/>
          <w:color w:val="1E3A5F"/>
        </w:rPr>
        <w:t>3.2 ADRG Structure</w:t>
      </w:r>
    </w:p>
    <w:p>
      <w:r>
        <w:rPr>
          <w:rFonts w:ascii="Calibri" w:hAnsi="Calibri"/>
          <w:b w:val="0"/>
          <w:i w:val="0"/>
          <w:sz w:val="22"/>
        </w:rPr>
        <w:t>The Analysis Data Reviewer's Guide (generated via POST .../adrg/generate) includes:</w:t>
      </w:r>
    </w:p>
    <w:p>
      <w:pPr>
        <w:pStyle w:val="ListBullet"/>
      </w:pPr>
      <w:r>
        <w:rPr>
          <w:rFonts w:ascii="Calibri" w:hAnsi="Calibri"/>
          <w:sz w:val="22"/>
        </w:rPr>
        <w:t>Section 1: Introduction and study description</w:t>
      </w:r>
    </w:p>
    <w:p>
      <w:pPr>
        <w:pStyle w:val="ListBullet"/>
      </w:pPr>
      <w:r>
        <w:rPr>
          <w:rFonts w:ascii="Calibri" w:hAnsi="Calibri"/>
          <w:sz w:val="22"/>
        </w:rPr>
        <w:t>Section 2: Analysis datasets (ADSL, ADAE, ADTTE) with variable-level descriptions</w:t>
      </w:r>
    </w:p>
    <w:p>
      <w:pPr>
        <w:pStyle w:val="ListBullet"/>
      </w:pPr>
      <w:r>
        <w:rPr>
          <w:rFonts w:ascii="Calibri" w:hAnsi="Calibri"/>
          <w:sz w:val="22"/>
        </w:rPr>
        <w:t>Section 3: Data dependencies and derivation logic</w:t>
      </w:r>
    </w:p>
    <w:p>
      <w:pPr>
        <w:pStyle w:val="ListBullet"/>
      </w:pPr>
      <w:r>
        <w:rPr>
          <w:rFonts w:ascii="Calibri" w:hAnsi="Calibri"/>
          <w:sz w:val="22"/>
        </w:rPr>
        <w:t>Section 4: Computing environment (Python version, packages, OS)</w:t>
      </w:r>
    </w:p>
    <w:p>
      <w:pPr>
        <w:pStyle w:val="ListBullet"/>
      </w:pPr>
      <w:r>
        <w:rPr>
          <w:rFonts w:ascii="Calibri" w:hAnsi="Calibri"/>
          <w:sz w:val="22"/>
        </w:rPr>
        <w:t>Section 5: Analysis programs and execution order</w:t>
      </w:r>
    </w:p>
    <w:p>
      <w:pPr>
        <w:pStyle w:val="ListBullet"/>
      </w:pPr>
      <w:r>
        <w:rPr>
          <w:rFonts w:ascii="Calibri" w:hAnsi="Calibri"/>
          <w:sz w:val="22"/>
        </w:rPr>
        <w:t>Section 6: Issues summary and resolution log</w:t>
      </w:r>
    </w:p>
    <w:p>
      <w:pPr>
        <w:pStyle w:val="Heading2"/>
      </w:pPr>
      <w:r>
        <w:rPr>
          <w:rFonts w:ascii="Calibri" w:hAnsi="Calibri"/>
          <w:color w:val="1E3A5F"/>
        </w:rPr>
        <w:t>3.3 Define-XML Metadata</w:t>
      </w:r>
    </w:p>
    <w:p>
      <w:r>
        <w:rPr>
          <w:rFonts w:ascii="Calibri" w:hAnsi="Calibri"/>
          <w:b w:val="0"/>
          <w:i w:val="0"/>
          <w:sz w:val="22"/>
        </w:rPr>
        <w:t>Define-XML 2.1 is generated via POST .../define-xml/generate. Each ADaM variable entry includes: variable name, label (max 40 characters), data type, length, origin (CRF, Derived, Assigned, Protocol), computational method (for derived variables), codelist reference, and role (Identifier, Topic, Timing, Grouping, Record Qualifier, Result Qualifier, Synonym Qualifier).</w:t>
      </w:r>
    </w:p>
    <w:p>
      <w:pPr>
        <w:pStyle w:val="Heading2"/>
      </w:pPr>
      <w:r>
        <w:rPr>
          <w:rFonts w:ascii="Calibri" w:hAnsi="Calibri"/>
          <w:color w:val="1E3A5F"/>
        </w:rPr>
        <w:t>3.4 eCTD Module 5 Assembly</w:t>
      </w:r>
    </w:p>
    <w:p>
      <w:r>
        <w:rPr>
          <w:rFonts w:ascii="Calibri" w:hAnsi="Calibri"/>
          <w:b w:val="0"/>
          <w:i w:val="0"/>
          <w:sz w:val="22"/>
        </w:rPr>
        <w:t>The eCTD generator (POST .../ectd/generate) creates the Module 5 directory structure:</w:t>
      </w:r>
    </w:p>
    <w:p>
      <w:pPr>
        <w:spacing w:before="80" w:after="80"/>
        <w:shd w:fill="F5F5F5"/>
      </w:pPr>
      <w:r>
        <w:rPr>
          <w:rFonts w:ascii="Courier New" w:hAnsi="Courier New"/>
          <w:color w:val="333333"/>
          <w:sz w:val="16"/>
        </w:rPr>
        <w:t>m5/</w:t>
        <w:br/>
        <w:t xml:space="preserve">  53-clin-stud-rep/</w:t>
        <w:br/>
        <w:t xml:space="preserve">    535-rep-analys-data-indiv-patient/</w:t>
        <w:br/>
        <w:t xml:space="preserve">      csr-synopsis.docx</w:t>
        <w:br/>
        <w:t xml:space="preserve">      csr-section-11-efficacy.docx</w:t>
        <w:br/>
        <w:t xml:space="preserve">      csr-section-12-safety.docx</w:t>
        <w:br/>
        <w:t xml:space="preserve">      csr-appendix-16.docx</w:t>
        <w:br/>
        <w:t xml:space="preserve">  datasets/</w:t>
        <w:br/>
        <w:t xml:space="preserve">    analysis/</w:t>
        <w:br/>
        <w:t xml:space="preserve">      adam/</w:t>
        <w:br/>
        <w:t xml:space="preserve">        adsl.xpt</w:t>
        <w:br/>
        <w:t xml:space="preserve">        adae.xpt</w:t>
        <w:br/>
        <w:t xml:space="preserve">        adtte.xpt</w:t>
        <w:br/>
        <w:t xml:space="preserve">        define.xml</w:t>
        <w:br/>
        <w:t xml:space="preserve">      adrg.docx</w:t>
        <w:br/>
        <w:t xml:space="preserve">    tabulation/</w:t>
        <w:br/>
        <w:t xml:space="preserve">      sdtm/</w:t>
        <w:br/>
        <w:t xml:space="preserve">        dm.xpt</w:t>
        <w:br/>
        <w:t xml:space="preserve">        ae.xpt</w:t>
        <w:br/>
        <w:t xml:space="preserve">        lb.xpt</w:t>
        <w:br/>
        <w:t xml:space="preserve">        vs.xpt</w:t>
        <w:br/>
        <w:t xml:space="preserve">        ex.xpt</w:t>
        <w:br/>
        <w:t xml:space="preserve">        ds.xpt</w:t>
        <w:br/>
        <w:t xml:space="preserve">  stf.xml (Study Tagging File)</w:t>
      </w:r>
    </w:p>
    <w:p>
      <w:pPr>
        <w:pStyle w:val="Heading2"/>
      </w:pPr>
      <w:r>
        <w:rPr>
          <w:rFonts w:ascii="Calibri" w:hAnsi="Calibri"/>
          <w:color w:val="1E3A5F"/>
        </w:rPr>
        <w:t>3.5 21 CFR Part 11 Compliance</w:t>
      </w:r>
    </w:p>
    <w:p>
      <w:r>
        <w:rPr>
          <w:rFonts w:ascii="Calibri" w:hAnsi="Calibri"/>
          <w:b w:val="0"/>
          <w:i w:val="0"/>
          <w:sz w:val="22"/>
        </w:rPr>
        <w:t>Afarensis supports 21 CFR Part 11 requirements through:</w:t>
      </w:r>
    </w:p>
    <w:tbl>
      <w:tblPr>
        <w:tblStyle w:val="TableGrid"/>
        <w:tblW w:type="auto" w:w="0"/>
        <w:jc w:val="center"/>
        <w:tblLook w:firstColumn="1" w:firstRow="1" w:lastColumn="0" w:lastRow="0" w:noHBand="0" w:noVBand="1" w:val="04A0"/>
      </w:tblPr>
      <w:tblGrid>
        <w:gridCol w:w="4320"/>
        <w:gridCol w:w="4320"/>
      </w:tblGrid>
      <w:tr>
        <w:tc>
          <w:tcPr>
            <w:tcW w:type="dxa" w:w="4320"/>
            <w:shd w:fill="1E3A5F"/>
          </w:tcPr>
          <w:p>
            <w:r>
              <w:rPr>
                <w:rFonts w:ascii="Calibri" w:hAnsi="Calibri"/>
                <w:b/>
                <w:color w:val="FFFFFF"/>
                <w:sz w:val="20"/>
              </w:rPr>
              <w:t>Requirement</w:t>
            </w:r>
          </w:p>
        </w:tc>
        <w:tc>
          <w:tcPr>
            <w:tcW w:type="dxa" w:w="4320"/>
            <w:shd w:fill="1E3A5F"/>
          </w:tcPr>
          <w:p>
            <w:r>
              <w:rPr>
                <w:rFonts w:ascii="Calibri" w:hAnsi="Calibri"/>
                <w:b/>
                <w:color w:val="FFFFFF"/>
                <w:sz w:val="20"/>
              </w:rPr>
              <w:t>Implementation</w:t>
            </w:r>
          </w:p>
        </w:tc>
      </w:tr>
      <w:tr>
        <w:tc>
          <w:tcPr>
            <w:tcW w:type="dxa" w:w="4320"/>
          </w:tcPr>
          <w:p>
            <w:r>
              <w:rPr>
                <w:rFonts w:ascii="Calibri" w:hAnsi="Calibri"/>
                <w:sz w:val="18"/>
              </w:rPr>
              <w:t>Electronic signatures</w:t>
            </w:r>
          </w:p>
        </w:tc>
        <w:tc>
          <w:tcPr>
            <w:tcW w:type="dxa" w:w="4320"/>
          </w:tcPr>
          <w:p>
            <w:r>
              <w:rPr>
                <w:rFonts w:ascii="Calibri" w:hAnsi="Calibri"/>
                <w:sz w:val="18"/>
              </w:rPr>
              <w:t>SHA-256 signed decisions with user ID, timestamp, meaning</w:t>
            </w:r>
          </w:p>
        </w:tc>
      </w:tr>
      <w:tr>
        <w:tc>
          <w:tcPr>
            <w:tcW w:type="dxa" w:w="4320"/>
            <w:shd w:fill="F0F4FA"/>
          </w:tcPr>
          <w:p>
            <w:r>
              <w:rPr>
                <w:rFonts w:ascii="Calibri" w:hAnsi="Calibri"/>
                <w:sz w:val="18"/>
              </w:rPr>
              <w:t>Audit trail</w:t>
            </w:r>
          </w:p>
        </w:tc>
        <w:tc>
          <w:tcPr>
            <w:tcW w:type="dxa" w:w="4320"/>
            <w:shd w:fill="F0F4FA"/>
          </w:tcPr>
          <w:p>
            <w:r>
              <w:rPr>
                <w:rFonts w:ascii="Calibri" w:hAnsi="Calibri"/>
                <w:sz w:val="18"/>
              </w:rPr>
              <w:t>Immutable append-only log with 7-year retention</w:t>
            </w:r>
          </w:p>
        </w:tc>
      </w:tr>
      <w:tr>
        <w:tc>
          <w:tcPr>
            <w:tcW w:type="dxa" w:w="4320"/>
          </w:tcPr>
          <w:p>
            <w:r>
              <w:rPr>
                <w:rFonts w:ascii="Calibri" w:hAnsi="Calibri"/>
                <w:sz w:val="18"/>
              </w:rPr>
              <w:t>Access controls</w:t>
            </w:r>
          </w:p>
        </w:tc>
        <w:tc>
          <w:tcPr>
            <w:tcW w:type="dxa" w:w="4320"/>
          </w:tcPr>
          <w:p>
            <w:r>
              <w:rPr>
                <w:rFonts w:ascii="Calibri" w:hAnsi="Calibri"/>
                <w:sz w:val="18"/>
              </w:rPr>
              <w:t>RBAC with JWT authentication and session management</w:t>
            </w:r>
          </w:p>
        </w:tc>
      </w:tr>
      <w:tr>
        <w:tc>
          <w:tcPr>
            <w:tcW w:type="dxa" w:w="4320"/>
            <w:shd w:fill="F0F4FA"/>
          </w:tcPr>
          <w:p>
            <w:r>
              <w:rPr>
                <w:rFonts w:ascii="Calibri" w:hAnsi="Calibri"/>
                <w:sz w:val="18"/>
              </w:rPr>
              <w:t>System validation</w:t>
            </w:r>
          </w:p>
        </w:tc>
        <w:tc>
          <w:tcPr>
            <w:tcW w:type="dxa" w:w="4320"/>
            <w:shd w:fill="F0F4FA"/>
          </w:tcPr>
          <w:p>
            <w:r>
              <w:rPr>
                <w:rFonts w:ascii="Calibri" w:hAnsi="Calibri"/>
                <w:sz w:val="18"/>
              </w:rPr>
              <w:t>Documented IQ/OQ/PQ protocol with test evidence</w:t>
            </w:r>
          </w:p>
        </w:tc>
      </w:tr>
      <w:tr>
        <w:tc>
          <w:tcPr>
            <w:tcW w:type="dxa" w:w="4320"/>
          </w:tcPr>
          <w:p>
            <w:r>
              <w:rPr>
                <w:rFonts w:ascii="Calibri" w:hAnsi="Calibri"/>
                <w:sz w:val="18"/>
              </w:rPr>
              <w:t>Record integrity</w:t>
            </w:r>
          </w:p>
        </w:tc>
        <w:tc>
          <w:tcPr>
            <w:tcW w:type="dxa" w:w="4320"/>
          </w:tcPr>
          <w:p>
            <w:r>
              <w:rPr>
                <w:rFonts w:ascii="Calibri" w:hAnsi="Calibri"/>
                <w:sz w:val="18"/>
              </w:rPr>
              <w:t>Database-level constraints; hash verification on artifacts</w:t>
            </w:r>
          </w:p>
        </w:tc>
      </w:tr>
      <w:tr>
        <w:tc>
          <w:tcPr>
            <w:tcW w:type="dxa" w:w="4320"/>
            <w:shd w:fill="F0F4FA"/>
          </w:tcPr>
          <w:p>
            <w:r>
              <w:rPr>
                <w:rFonts w:ascii="Calibri" w:hAnsi="Calibri"/>
                <w:sz w:val="18"/>
              </w:rPr>
              <w:t>Backup and recovery</w:t>
            </w:r>
          </w:p>
        </w:tc>
        <w:tc>
          <w:tcPr>
            <w:tcW w:type="dxa" w:w="4320"/>
            <w:shd w:fill="F0F4FA"/>
          </w:tcPr>
          <w:p>
            <w:r>
              <w:rPr>
                <w:rFonts w:ascii="Calibri" w:hAnsi="Calibri"/>
                <w:sz w:val="18"/>
              </w:rPr>
              <w:t>Automated pg-backup to S3 with point-in-time recovery</w:t>
            </w:r>
          </w:p>
        </w:tc>
      </w:tr>
    </w:tbl>
    <w:p/>
    <w:p>
      <w:pPr>
        <w:pStyle w:val="Heading1"/>
      </w:pPr>
      <w:r>
        <w:rPr>
          <w:rFonts w:ascii="Calibri" w:hAnsi="Calibri"/>
          <w:color w:val="1E3A5F"/>
        </w:rPr>
        <w:t>4. For Data Managers</w:t>
      </w:r>
    </w:p>
    <w:p>
      <w:pPr>
        <w:pStyle w:val="Heading2"/>
      </w:pPr>
      <w:r>
        <w:rPr>
          <w:rFonts w:ascii="Calibri" w:hAnsi="Calibri"/>
          <w:color w:val="1E3A5F"/>
        </w:rPr>
        <w:t>4.1 CDISC ADaM Variable Mapping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rFonts w:ascii="Calibri" w:hAnsi="Calibri"/>
                <w:b/>
                <w:color w:val="FFFFFF"/>
                <w:sz w:val="20"/>
              </w:rPr>
              <w:t>Dataset</w:t>
            </w:r>
          </w:p>
        </w:tc>
        <w:tc>
          <w:tcPr>
            <w:tcW w:type="dxa" w:w="2880"/>
            <w:shd w:fill="1E3A5F"/>
          </w:tcPr>
          <w:p>
            <w:r>
              <w:rPr>
                <w:rFonts w:ascii="Calibri" w:hAnsi="Calibri"/>
                <w:b/>
                <w:color w:val="FFFFFF"/>
                <w:sz w:val="20"/>
              </w:rPr>
              <w:t>Key Variables</w:t>
            </w:r>
          </w:p>
        </w:tc>
        <w:tc>
          <w:tcPr>
            <w:tcW w:type="dxa" w:w="2880"/>
            <w:shd w:fill="1E3A5F"/>
          </w:tcPr>
          <w:p>
            <w:r>
              <w:rPr>
                <w:rFonts w:ascii="Calibri" w:hAnsi="Calibri"/>
                <w:b/>
                <w:color w:val="FFFFFF"/>
                <w:sz w:val="20"/>
              </w:rPr>
              <w:t>Derivation Notes</w:t>
            </w:r>
          </w:p>
        </w:tc>
      </w:tr>
      <w:tr>
        <w:tc>
          <w:tcPr>
            <w:tcW w:type="dxa" w:w="2880"/>
          </w:tcPr>
          <w:p>
            <w:r>
              <w:rPr>
                <w:rFonts w:ascii="Calibri" w:hAnsi="Calibri"/>
                <w:sz w:val="18"/>
              </w:rPr>
              <w:t>ADSL</w:t>
            </w:r>
          </w:p>
        </w:tc>
        <w:tc>
          <w:tcPr>
            <w:tcW w:type="dxa" w:w="2880"/>
          </w:tcPr>
          <w:p>
            <w:r>
              <w:rPr>
                <w:rFonts w:ascii="Calibri" w:hAnsi="Calibri"/>
                <w:sz w:val="18"/>
              </w:rPr>
              <w:t>USUBJID, SITEID, AGE, AGEGR1, SEX, RACE, TRT01A, TRT01P, SAFFL, ITTFL, RANDDT</w:t>
            </w:r>
          </w:p>
        </w:tc>
        <w:tc>
          <w:tcPr>
            <w:tcW w:type="dxa" w:w="2880"/>
          </w:tcPr>
          <w:p>
            <w:r>
              <w:rPr>
                <w:rFonts w:ascii="Calibri" w:hAnsi="Calibri"/>
                <w:sz w:val="18"/>
              </w:rPr>
              <w:t>Subject-level; one row per subject; flags derived from protocol criteria</w:t>
            </w:r>
          </w:p>
        </w:tc>
      </w:tr>
      <w:tr>
        <w:tc>
          <w:tcPr>
            <w:tcW w:type="dxa" w:w="2880"/>
            <w:shd w:fill="F0F4FA"/>
          </w:tcPr>
          <w:p>
            <w:r>
              <w:rPr>
                <w:rFonts w:ascii="Calibri" w:hAnsi="Calibri"/>
                <w:sz w:val="18"/>
              </w:rPr>
              <w:t>ADAE</w:t>
            </w:r>
          </w:p>
        </w:tc>
        <w:tc>
          <w:tcPr>
            <w:tcW w:type="dxa" w:w="2880"/>
            <w:shd w:fill="F0F4FA"/>
          </w:tcPr>
          <w:p>
            <w:r>
              <w:rPr>
                <w:rFonts w:ascii="Calibri" w:hAnsi="Calibri"/>
                <w:sz w:val="18"/>
              </w:rPr>
              <w:t>USUBJID, AETERM, AEDECOD (MedDRA PT), AEBODSYS, AESER, AEREL, AESTDTC, AEENDTC, TRTEMFL</w:t>
            </w:r>
          </w:p>
        </w:tc>
        <w:tc>
          <w:tcPr>
            <w:tcW w:type="dxa" w:w="2880"/>
            <w:shd w:fill="F0F4FA"/>
          </w:tcPr>
          <w:p>
            <w:r>
              <w:rPr>
                <w:rFonts w:ascii="Calibri" w:hAnsi="Calibri"/>
                <w:sz w:val="18"/>
              </w:rPr>
              <w:t>Treatment-emergent flag based on AESTDTC relative to first dose date</w:t>
            </w:r>
          </w:p>
        </w:tc>
      </w:tr>
      <w:tr>
        <w:tc>
          <w:tcPr>
            <w:tcW w:type="dxa" w:w="2880"/>
          </w:tcPr>
          <w:p>
            <w:r>
              <w:rPr>
                <w:rFonts w:ascii="Calibri" w:hAnsi="Calibri"/>
                <w:sz w:val="18"/>
              </w:rPr>
              <w:t>ADTTE</w:t>
            </w:r>
          </w:p>
        </w:tc>
        <w:tc>
          <w:tcPr>
            <w:tcW w:type="dxa" w:w="2880"/>
          </w:tcPr>
          <w:p>
            <w:r>
              <w:rPr>
                <w:rFonts w:ascii="Calibri" w:hAnsi="Calibri"/>
                <w:sz w:val="18"/>
              </w:rPr>
              <w:t>USUBJID, PARAMCD, PARAM, AVAL, CNSR, STARTDT, ADT, EVNTDESC, SRCDOM</w:t>
            </w:r>
          </w:p>
        </w:tc>
        <w:tc>
          <w:tcPr>
            <w:tcW w:type="dxa" w:w="2880"/>
          </w:tcPr>
          <w:p>
            <w:r>
              <w:rPr>
                <w:rFonts w:ascii="Calibri" w:hAnsi="Calibri"/>
                <w:sz w:val="18"/>
              </w:rPr>
              <w:t>AVAL = ADT - STARTDT + 1; CNSR=0 for events, CNSR=1 for censored</w:t>
            </w:r>
          </w:p>
        </w:tc>
      </w:tr>
    </w:tbl>
    <w:p/>
    <w:p>
      <w:pPr>
        <w:pStyle w:val="Heading2"/>
      </w:pPr>
      <w:r>
        <w:rPr>
          <w:rFonts w:ascii="Calibri" w:hAnsi="Calibri"/>
          <w:color w:val="1E3A5F"/>
        </w:rPr>
        <w:t>4.2 SDTM Domain Generation</w:t>
      </w:r>
    </w:p>
    <w:p>
      <w:r>
        <w:rPr>
          <w:rFonts w:ascii="Calibri" w:hAnsi="Calibri"/>
          <w:b w:val="0"/>
          <w:i w:val="0"/>
          <w:sz w:val="22"/>
        </w:rPr>
        <w:t>Six SDTM domains are generated via POST .../sdtm/generate/{domain}: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rFonts w:ascii="Calibri" w:hAnsi="Calibri"/>
                <w:b/>
                <w:color w:val="FFFFFF"/>
                <w:sz w:val="20"/>
              </w:rPr>
              <w:t>Domain</w:t>
            </w:r>
          </w:p>
        </w:tc>
        <w:tc>
          <w:tcPr>
            <w:tcW w:type="dxa" w:w="2880"/>
            <w:shd w:fill="1E3A5F"/>
          </w:tcPr>
          <w:p>
            <w:r>
              <w:rPr>
                <w:rFonts w:ascii="Calibri" w:hAnsi="Calibri"/>
                <w:b/>
                <w:color w:val="FFFFFF"/>
                <w:sz w:val="20"/>
              </w:rPr>
              <w:t>Description</w:t>
            </w:r>
          </w:p>
        </w:tc>
        <w:tc>
          <w:tcPr>
            <w:tcW w:type="dxa" w:w="2880"/>
            <w:shd w:fill="1E3A5F"/>
          </w:tcPr>
          <w:p>
            <w:r>
              <w:rPr>
                <w:rFonts w:ascii="Calibri" w:hAnsi="Calibri"/>
                <w:b/>
                <w:color w:val="FFFFFF"/>
                <w:sz w:val="20"/>
              </w:rPr>
              <w:t>Key Variables</w:t>
            </w:r>
          </w:p>
        </w:tc>
      </w:tr>
      <w:tr>
        <w:tc>
          <w:tcPr>
            <w:tcW w:type="dxa" w:w="2880"/>
          </w:tcPr>
          <w:p>
            <w:r>
              <w:rPr>
                <w:rFonts w:ascii="Calibri" w:hAnsi="Calibri"/>
                <w:sz w:val="18"/>
              </w:rPr>
              <w:t>DM</w:t>
            </w:r>
          </w:p>
        </w:tc>
        <w:tc>
          <w:tcPr>
            <w:tcW w:type="dxa" w:w="2880"/>
          </w:tcPr>
          <w:p>
            <w:r>
              <w:rPr>
                <w:rFonts w:ascii="Calibri" w:hAnsi="Calibri"/>
                <w:sz w:val="18"/>
              </w:rPr>
              <w:t>Demographics</w:t>
            </w:r>
          </w:p>
        </w:tc>
        <w:tc>
          <w:tcPr>
            <w:tcW w:type="dxa" w:w="2880"/>
          </w:tcPr>
          <w:p>
            <w:r>
              <w:rPr>
                <w:rFonts w:ascii="Calibri" w:hAnsi="Calibri"/>
                <w:sz w:val="18"/>
              </w:rPr>
              <w:t>STUDYID, USUBJID, SUBJID, SITEID, AGE, SEX, RACE, ARMCD, ARM</w:t>
            </w:r>
          </w:p>
        </w:tc>
      </w:tr>
      <w:tr>
        <w:tc>
          <w:tcPr>
            <w:tcW w:type="dxa" w:w="2880"/>
            <w:shd w:fill="F0F4FA"/>
          </w:tcPr>
          <w:p>
            <w:r>
              <w:rPr>
                <w:rFonts w:ascii="Calibri" w:hAnsi="Calibri"/>
                <w:sz w:val="18"/>
              </w:rPr>
              <w:t>AE</w:t>
            </w:r>
          </w:p>
        </w:tc>
        <w:tc>
          <w:tcPr>
            <w:tcW w:type="dxa" w:w="2880"/>
            <w:shd w:fill="F0F4FA"/>
          </w:tcPr>
          <w:p>
            <w:r>
              <w:rPr>
                <w:rFonts w:ascii="Calibri" w:hAnsi="Calibri"/>
                <w:sz w:val="18"/>
              </w:rPr>
              <w:t>Adverse Events</w:t>
            </w:r>
          </w:p>
        </w:tc>
        <w:tc>
          <w:tcPr>
            <w:tcW w:type="dxa" w:w="2880"/>
            <w:shd w:fill="F0F4FA"/>
          </w:tcPr>
          <w:p>
            <w:r>
              <w:rPr>
                <w:rFonts w:ascii="Calibri" w:hAnsi="Calibri"/>
                <w:sz w:val="18"/>
              </w:rPr>
              <w:t>AETERM, AEDECOD, AEBODSYS, AESEV, AESER, AEREL, AESTDTC, AEENDTC</w:t>
            </w:r>
          </w:p>
        </w:tc>
      </w:tr>
      <w:tr>
        <w:tc>
          <w:tcPr>
            <w:tcW w:type="dxa" w:w="2880"/>
          </w:tcPr>
          <w:p>
            <w:r>
              <w:rPr>
                <w:rFonts w:ascii="Calibri" w:hAnsi="Calibri"/>
                <w:sz w:val="18"/>
              </w:rPr>
              <w:t>LB</w:t>
            </w:r>
          </w:p>
        </w:tc>
        <w:tc>
          <w:tcPr>
            <w:tcW w:type="dxa" w:w="2880"/>
          </w:tcPr>
          <w:p>
            <w:r>
              <w:rPr>
                <w:rFonts w:ascii="Calibri" w:hAnsi="Calibri"/>
                <w:sz w:val="18"/>
              </w:rPr>
              <w:t>Laboratory</w:t>
            </w:r>
          </w:p>
        </w:tc>
        <w:tc>
          <w:tcPr>
            <w:tcW w:type="dxa" w:w="2880"/>
          </w:tcPr>
          <w:p>
            <w:r>
              <w:rPr>
                <w:rFonts w:ascii="Calibri" w:hAnsi="Calibri"/>
                <w:sz w:val="18"/>
              </w:rPr>
              <w:t>LBTESTCD, LBTEST, LBORRES, LBORRESU, LBSTRESN, LBSTRESU, LBDTC</w:t>
            </w:r>
          </w:p>
        </w:tc>
      </w:tr>
      <w:tr>
        <w:tc>
          <w:tcPr>
            <w:tcW w:type="dxa" w:w="2880"/>
            <w:shd w:fill="F0F4FA"/>
          </w:tcPr>
          <w:p>
            <w:r>
              <w:rPr>
                <w:rFonts w:ascii="Calibri" w:hAnsi="Calibri"/>
                <w:sz w:val="18"/>
              </w:rPr>
              <w:t>VS</w:t>
            </w:r>
          </w:p>
        </w:tc>
        <w:tc>
          <w:tcPr>
            <w:tcW w:type="dxa" w:w="2880"/>
            <w:shd w:fill="F0F4FA"/>
          </w:tcPr>
          <w:p>
            <w:r>
              <w:rPr>
                <w:rFonts w:ascii="Calibri" w:hAnsi="Calibri"/>
                <w:sz w:val="18"/>
              </w:rPr>
              <w:t>Vital Signs</w:t>
            </w:r>
          </w:p>
        </w:tc>
        <w:tc>
          <w:tcPr>
            <w:tcW w:type="dxa" w:w="2880"/>
            <w:shd w:fill="F0F4FA"/>
          </w:tcPr>
          <w:p>
            <w:r>
              <w:rPr>
                <w:rFonts w:ascii="Calibri" w:hAnsi="Calibri"/>
                <w:sz w:val="18"/>
              </w:rPr>
              <w:t>VSTESTCD, VSTEST, VSORRES, VSORRESU, VSSTRESN, VSSTRESU, VSDTC</w:t>
            </w:r>
          </w:p>
        </w:tc>
      </w:tr>
      <w:tr>
        <w:tc>
          <w:tcPr>
            <w:tcW w:type="dxa" w:w="2880"/>
          </w:tcPr>
          <w:p>
            <w:r>
              <w:rPr>
                <w:rFonts w:ascii="Calibri" w:hAnsi="Calibri"/>
                <w:sz w:val="18"/>
              </w:rPr>
              <w:t>EX</w:t>
            </w:r>
          </w:p>
        </w:tc>
        <w:tc>
          <w:tcPr>
            <w:tcW w:type="dxa" w:w="2880"/>
          </w:tcPr>
          <w:p>
            <w:r>
              <w:rPr>
                <w:rFonts w:ascii="Calibri" w:hAnsi="Calibri"/>
                <w:sz w:val="18"/>
              </w:rPr>
              <w:t>Exposure</w:t>
            </w:r>
          </w:p>
        </w:tc>
        <w:tc>
          <w:tcPr>
            <w:tcW w:type="dxa" w:w="2880"/>
          </w:tcPr>
          <w:p>
            <w:r>
              <w:rPr>
                <w:rFonts w:ascii="Calibri" w:hAnsi="Calibri"/>
                <w:sz w:val="18"/>
              </w:rPr>
              <w:t>EXTRT, EXDOSE, EXDOSU, EXROUTE, EXSTDTC, EXENDTC</w:t>
            </w:r>
          </w:p>
        </w:tc>
      </w:tr>
      <w:tr>
        <w:tc>
          <w:tcPr>
            <w:tcW w:type="dxa" w:w="2880"/>
            <w:shd w:fill="F0F4FA"/>
          </w:tcPr>
          <w:p>
            <w:r>
              <w:rPr>
                <w:rFonts w:ascii="Calibri" w:hAnsi="Calibri"/>
                <w:sz w:val="18"/>
              </w:rPr>
              <w:t>DS</w:t>
            </w:r>
          </w:p>
        </w:tc>
        <w:tc>
          <w:tcPr>
            <w:tcW w:type="dxa" w:w="2880"/>
            <w:shd w:fill="F0F4FA"/>
          </w:tcPr>
          <w:p>
            <w:r>
              <w:rPr>
                <w:rFonts w:ascii="Calibri" w:hAnsi="Calibri"/>
                <w:sz w:val="18"/>
              </w:rPr>
              <w:t>Disposition</w:t>
            </w:r>
          </w:p>
        </w:tc>
        <w:tc>
          <w:tcPr>
            <w:tcW w:type="dxa" w:w="2880"/>
            <w:shd w:fill="F0F4FA"/>
          </w:tcPr>
          <w:p>
            <w:r>
              <w:rPr>
                <w:rFonts w:ascii="Calibri" w:hAnsi="Calibri"/>
                <w:sz w:val="18"/>
              </w:rPr>
              <w:t>DSTERM, DSDECOD, DSCAT, DSSTDTC, EPOCH</w:t>
            </w:r>
          </w:p>
        </w:tc>
      </w:tr>
    </w:tbl>
    <w:p/>
    <w:p>
      <w:pPr>
        <w:pStyle w:val="Heading2"/>
      </w:pPr>
      <w:r>
        <w:rPr>
          <w:rFonts w:ascii="Calibri" w:hAnsi="Calibri"/>
          <w:color w:val="1E3A5F"/>
        </w:rPr>
        <w:t>4.3 Data Validation Rules</w:t>
      </w:r>
    </w:p>
    <w:p>
      <w:r>
        <w:rPr>
          <w:rFonts w:ascii="Calibri" w:hAnsi="Calibri"/>
          <w:b w:val="0"/>
          <w:i w:val="0"/>
          <w:sz w:val="22"/>
        </w:rPr>
        <w:t>The validate endpoints run CDISC conformance checks including:</w:t>
      </w:r>
    </w:p>
    <w:p>
      <w:pPr>
        <w:pStyle w:val="ListBullet"/>
      </w:pPr>
      <w:r>
        <w:rPr>
          <w:rFonts w:ascii="Calibri" w:hAnsi="Calibri"/>
          <w:sz w:val="22"/>
        </w:rPr>
        <w:t>Variable naming: Must match CDISC controlled terminology</w:t>
      </w:r>
    </w:p>
    <w:p>
      <w:pPr>
        <w:pStyle w:val="ListBullet"/>
      </w:pPr>
      <w:r>
        <w:rPr>
          <w:rFonts w:ascii="Calibri" w:hAnsi="Calibri"/>
          <w:sz w:val="22"/>
        </w:rPr>
        <w:t>Required variables: Checks presence of all required columns per domain</w:t>
      </w:r>
    </w:p>
    <w:p>
      <w:pPr>
        <w:pStyle w:val="ListBullet"/>
      </w:pPr>
      <w:r>
        <w:rPr>
          <w:rFonts w:ascii="Calibri" w:hAnsi="Calibri"/>
          <w:sz w:val="22"/>
        </w:rPr>
        <w:t>Value-level metadata: Validates codelists against CDISC dictionaries</w:t>
      </w:r>
    </w:p>
    <w:p>
      <w:pPr>
        <w:pStyle w:val="ListBullet"/>
      </w:pPr>
      <w:r>
        <w:rPr>
          <w:rFonts w:ascii="Calibri" w:hAnsi="Calibri"/>
          <w:sz w:val="22"/>
        </w:rPr>
        <w:t>Cross-domain consistency: USUBJID must exist in DM for all observation domains</w:t>
      </w:r>
    </w:p>
    <w:p>
      <w:pPr>
        <w:pStyle w:val="ListBullet"/>
      </w:pPr>
      <w:r>
        <w:rPr>
          <w:rFonts w:ascii="Calibri" w:hAnsi="Calibri"/>
          <w:sz w:val="22"/>
        </w:rPr>
        <w:t>Date formats: ISO 8601 compliance for all date/datetime variables</w:t>
      </w:r>
    </w:p>
    <w:p>
      <w:pPr>
        <w:pStyle w:val="Heading2"/>
      </w:pPr>
      <w:r>
        <w:rPr>
          <w:rFonts w:ascii="Calibri" w:hAnsi="Calibri"/>
          <w:color w:val="1E3A5F"/>
        </w:rPr>
        <w:t>4.4 Dataset Lineage</w:t>
      </w:r>
    </w:p>
    <w:p>
      <w:r>
        <w:rPr>
          <w:rFonts w:ascii="Calibri" w:hAnsi="Calibri"/>
          <w:b w:val="0"/>
          <w:i w:val="0"/>
          <w:sz w:val="22"/>
        </w:rPr>
        <w:t>The ADRG documents complete data lineage: raw data source, SDTM mapping, ADaM derivation logic, and TFL consumption. Each transformation step records the program name, version, execution timestamp, and input/output checksums.</w:t>
      </w:r>
    </w:p>
    <w:p>
      <w:pPr>
        <w:pStyle w:val="Heading1"/>
      </w:pPr>
      <w:r>
        <w:rPr>
          <w:rFonts w:ascii="Calibri" w:hAnsi="Calibri"/>
          <w:color w:val="1E3A5F"/>
        </w:rPr>
        <w:t>5. For IT/DevOps</w:t>
      </w:r>
    </w:p>
    <w:p>
      <w:pPr>
        <w:pStyle w:val="Heading2"/>
      </w:pPr>
      <w:r>
        <w:rPr>
          <w:rFonts w:ascii="Calibri" w:hAnsi="Calibri"/>
          <w:color w:val="1E3A5F"/>
        </w:rPr>
        <w:t>5.1 Deployment Architecture</w:t>
      </w:r>
    </w:p>
    <w:p>
      <w:r>
        <w:rPr>
          <w:rFonts w:ascii="Calibri" w:hAnsi="Calibri"/>
          <w:b w:val="0"/>
          <w:i w:val="0"/>
          <w:sz w:val="22"/>
        </w:rPr>
        <w:t>Afarensis deploys as a containerized stack: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3A5F"/>
          </w:tcPr>
          <w:p>
            <w:r>
              <w:rPr>
                <w:rFonts w:ascii="Calibri" w:hAnsi="Calibri"/>
                <w:b/>
                <w:color w:val="FFFFFF"/>
                <w:sz w:val="20"/>
              </w:rPr>
              <w:t>Component</w:t>
            </w:r>
          </w:p>
        </w:tc>
        <w:tc>
          <w:tcPr>
            <w:tcW w:type="dxa" w:w="2160"/>
            <w:shd w:fill="1E3A5F"/>
          </w:tcPr>
          <w:p>
            <w:r>
              <w:rPr>
                <w:rFonts w:ascii="Calibri" w:hAnsi="Calibri"/>
                <w:b/>
                <w:color w:val="FFFFFF"/>
                <w:sz w:val="20"/>
              </w:rPr>
              <w:t>Technology</w:t>
            </w:r>
          </w:p>
        </w:tc>
        <w:tc>
          <w:tcPr>
            <w:tcW w:type="dxa" w:w="2160"/>
            <w:shd w:fill="1E3A5F"/>
          </w:tcPr>
          <w:p>
            <w:r>
              <w:rPr>
                <w:rFonts w:ascii="Calibri" w:hAnsi="Calibri"/>
                <w:b/>
                <w:color w:val="FFFFFF"/>
                <w:sz w:val="20"/>
              </w:rPr>
              <w:t>Port</w:t>
            </w:r>
          </w:p>
        </w:tc>
        <w:tc>
          <w:tcPr>
            <w:tcW w:type="dxa" w:w="2160"/>
            <w:shd w:fill="1E3A5F"/>
          </w:tcPr>
          <w:p>
            <w:r>
              <w:rPr>
                <w:rFonts w:ascii="Calibri" w:hAnsi="Calibri"/>
                <w:b/>
                <w:color w:val="FFFFFF"/>
                <w:sz w:val="20"/>
              </w:rPr>
              <w:t>Notes</w:t>
            </w:r>
          </w:p>
        </w:tc>
      </w:tr>
      <w:tr>
        <w:tc>
          <w:tcPr>
            <w:tcW w:type="dxa" w:w="2160"/>
          </w:tcPr>
          <w:p>
            <w:r>
              <w:rPr>
                <w:rFonts w:ascii="Calibri" w:hAnsi="Calibri"/>
                <w:sz w:val="18"/>
              </w:rPr>
              <w:t>Frontend</w:t>
            </w:r>
          </w:p>
        </w:tc>
        <w:tc>
          <w:tcPr>
            <w:tcW w:type="dxa" w:w="2160"/>
          </w:tcPr>
          <w:p>
            <w:r>
              <w:rPr>
                <w:rFonts w:ascii="Calibri" w:hAnsi="Calibri"/>
                <w:sz w:val="18"/>
              </w:rPr>
              <w:t>React 18 SPA</w:t>
            </w:r>
          </w:p>
        </w:tc>
        <w:tc>
          <w:tcPr>
            <w:tcW w:type="dxa" w:w="2160"/>
          </w:tcPr>
          <w:p>
            <w:r>
              <w:rPr>
                <w:rFonts w:ascii="Calibri" w:hAnsi="Calibri"/>
                <w:sz w:val="18"/>
              </w:rPr>
              <w:t>3000</w:t>
            </w:r>
          </w:p>
        </w:tc>
        <w:tc>
          <w:tcPr>
            <w:tcW w:type="dxa" w:w="2160"/>
          </w:tcPr>
          <w:p>
            <w:r>
              <w:rPr>
                <w:rFonts w:ascii="Calibri" w:hAnsi="Calibri"/>
                <w:sz w:val="18"/>
              </w:rPr>
              <w:t>Served via Nginx in production</w:t>
            </w:r>
          </w:p>
        </w:tc>
      </w:tr>
      <w:tr>
        <w:tc>
          <w:tcPr>
            <w:tcW w:type="dxa" w:w="2160"/>
            <w:shd w:fill="F0F4FA"/>
          </w:tcPr>
          <w:p>
            <w:r>
              <w:rPr>
                <w:rFonts w:ascii="Calibri" w:hAnsi="Calibri"/>
                <w:sz w:val="18"/>
              </w:rPr>
              <w:t>API Server</w:t>
            </w:r>
          </w:p>
        </w:tc>
        <w:tc>
          <w:tcPr>
            <w:tcW w:type="dxa" w:w="2160"/>
            <w:shd w:fill="F0F4FA"/>
          </w:tcPr>
          <w:p>
            <w:r>
              <w:rPr>
                <w:rFonts w:ascii="Calibri" w:hAnsi="Calibri"/>
                <w:sz w:val="18"/>
              </w:rPr>
              <w:t>FastAPI (Python 3.10+)</w:t>
            </w:r>
          </w:p>
        </w:tc>
        <w:tc>
          <w:tcPr>
            <w:tcW w:type="dxa" w:w="2160"/>
            <w:shd w:fill="F0F4FA"/>
          </w:tcPr>
          <w:p>
            <w:r>
              <w:rPr>
                <w:rFonts w:ascii="Calibri" w:hAnsi="Calibri"/>
                <w:sz w:val="18"/>
              </w:rPr>
              <w:t>8000</w:t>
            </w:r>
          </w:p>
        </w:tc>
        <w:tc>
          <w:tcPr>
            <w:tcW w:type="dxa" w:w="2160"/>
            <w:shd w:fill="F0F4FA"/>
          </w:tcPr>
          <w:p>
            <w:r>
              <w:rPr>
                <w:rFonts w:ascii="Calibri" w:hAnsi="Calibri"/>
                <w:sz w:val="18"/>
              </w:rPr>
              <w:t>Uvicorn with auto-reload in dev</w:t>
            </w:r>
          </w:p>
        </w:tc>
      </w:tr>
      <w:tr>
        <w:tc>
          <w:tcPr>
            <w:tcW w:type="dxa" w:w="2160"/>
          </w:tcPr>
          <w:p>
            <w:r>
              <w:rPr>
                <w:rFonts w:ascii="Calibri" w:hAnsi="Calibri"/>
                <w:sz w:val="18"/>
              </w:rPr>
              <w:t>Database</w:t>
            </w:r>
          </w:p>
        </w:tc>
        <w:tc>
          <w:tcPr>
            <w:tcW w:type="dxa" w:w="2160"/>
          </w:tcPr>
          <w:p>
            <w:r>
              <w:rPr>
                <w:rFonts w:ascii="Calibri" w:hAnsi="Calibri"/>
                <w:sz w:val="18"/>
              </w:rPr>
              <w:t>PostgreSQL 15+</w:t>
            </w:r>
          </w:p>
        </w:tc>
        <w:tc>
          <w:tcPr>
            <w:tcW w:type="dxa" w:w="2160"/>
          </w:tcPr>
          <w:p>
            <w:r>
              <w:rPr>
                <w:rFonts w:ascii="Calibri" w:hAnsi="Calibri"/>
                <w:sz w:val="18"/>
              </w:rPr>
              <w:t>5432</w:t>
            </w:r>
          </w:p>
        </w:tc>
        <w:tc>
          <w:tcPr>
            <w:tcW w:type="dxa" w:w="2160"/>
          </w:tcPr>
          <w:p>
            <w:r>
              <w:rPr>
                <w:rFonts w:ascii="Calibri" w:hAnsi="Calibri"/>
                <w:sz w:val="18"/>
              </w:rPr>
              <w:t>With pgvector extension for embeddings</w:t>
            </w:r>
          </w:p>
        </w:tc>
      </w:tr>
      <w:tr>
        <w:tc>
          <w:tcPr>
            <w:tcW w:type="dxa" w:w="2160"/>
            <w:shd w:fill="F0F4FA"/>
          </w:tcPr>
          <w:p>
            <w:r>
              <w:rPr>
                <w:rFonts w:ascii="Calibri" w:hAnsi="Calibri"/>
                <w:sz w:val="18"/>
              </w:rPr>
              <w:t>Connection Pool</w:t>
            </w:r>
          </w:p>
        </w:tc>
        <w:tc>
          <w:tcPr>
            <w:tcW w:type="dxa" w:w="2160"/>
            <w:shd w:fill="F0F4FA"/>
          </w:tcPr>
          <w:p>
            <w:r>
              <w:rPr>
                <w:rFonts w:ascii="Calibri" w:hAnsi="Calibri"/>
                <w:sz w:val="18"/>
              </w:rPr>
              <w:t>PgBouncer</w:t>
            </w:r>
          </w:p>
        </w:tc>
        <w:tc>
          <w:tcPr>
            <w:tcW w:type="dxa" w:w="2160"/>
            <w:shd w:fill="F0F4FA"/>
          </w:tcPr>
          <w:p>
            <w:r>
              <w:rPr>
                <w:rFonts w:ascii="Calibri" w:hAnsi="Calibri"/>
                <w:sz w:val="18"/>
              </w:rPr>
              <w:t>6432</w:t>
            </w:r>
          </w:p>
        </w:tc>
        <w:tc>
          <w:tcPr>
            <w:tcW w:type="dxa" w:w="2160"/>
            <w:shd w:fill="F0F4FA"/>
          </w:tcPr>
          <w:p>
            <w:r>
              <w:rPr>
                <w:rFonts w:ascii="Calibri" w:hAnsi="Calibri"/>
                <w:sz w:val="18"/>
              </w:rPr>
              <w:t>Transaction-mode pooling, max 100 connections</w:t>
            </w:r>
          </w:p>
        </w:tc>
      </w:tr>
      <w:tr>
        <w:tc>
          <w:tcPr>
            <w:tcW w:type="dxa" w:w="2160"/>
          </w:tcPr>
          <w:p>
            <w:r>
              <w:rPr>
                <w:rFonts w:ascii="Calibri" w:hAnsi="Calibri"/>
                <w:sz w:val="18"/>
              </w:rPr>
              <w:t>Cache</w:t>
            </w:r>
          </w:p>
        </w:tc>
        <w:tc>
          <w:tcPr>
            <w:tcW w:type="dxa" w:w="2160"/>
          </w:tcPr>
          <w:p>
            <w:r>
              <w:rPr>
                <w:rFonts w:ascii="Calibri" w:hAnsi="Calibri"/>
                <w:sz w:val="18"/>
              </w:rPr>
              <w:t>Redis 7+</w:t>
            </w:r>
          </w:p>
        </w:tc>
        <w:tc>
          <w:tcPr>
            <w:tcW w:type="dxa" w:w="2160"/>
          </w:tcPr>
          <w:p>
            <w:r>
              <w:rPr>
                <w:rFonts w:ascii="Calibri" w:hAnsi="Calibri"/>
                <w:sz w:val="18"/>
              </w:rPr>
              <w:t>6379</w:t>
            </w:r>
          </w:p>
        </w:tc>
        <w:tc>
          <w:tcPr>
            <w:tcW w:type="dxa" w:w="2160"/>
          </w:tcPr>
          <w:p>
            <w:r>
              <w:rPr>
                <w:rFonts w:ascii="Calibri" w:hAnsi="Calibri"/>
                <w:sz w:val="18"/>
              </w:rPr>
              <w:t>Session store, task queue, caching</w:t>
            </w:r>
          </w:p>
        </w:tc>
      </w:tr>
      <w:tr>
        <w:tc>
          <w:tcPr>
            <w:tcW w:type="dxa" w:w="2160"/>
            <w:shd w:fill="F0F4FA"/>
          </w:tcPr>
          <w:p>
            <w:r>
              <w:rPr>
                <w:rFonts w:ascii="Calibri" w:hAnsi="Calibri"/>
                <w:sz w:val="18"/>
              </w:rPr>
              <w:t>Object Storage</w:t>
            </w:r>
          </w:p>
        </w:tc>
        <w:tc>
          <w:tcPr>
            <w:tcW w:type="dxa" w:w="2160"/>
            <w:shd w:fill="F0F4FA"/>
          </w:tcPr>
          <w:p>
            <w:r>
              <w:rPr>
                <w:rFonts w:ascii="Calibri" w:hAnsi="Calibri"/>
                <w:sz w:val="18"/>
              </w:rPr>
              <w:t>S3 / MinIO</w:t>
            </w:r>
          </w:p>
        </w:tc>
        <w:tc>
          <w:tcPr>
            <w:tcW w:type="dxa" w:w="2160"/>
            <w:shd w:fill="F0F4FA"/>
          </w:tcPr>
          <w:p>
            <w:r>
              <w:rPr>
                <w:rFonts w:ascii="Calibri" w:hAnsi="Calibri"/>
                <w:sz w:val="18"/>
              </w:rPr>
              <w:t>9000</w:t>
            </w:r>
          </w:p>
        </w:tc>
        <w:tc>
          <w:tcPr>
            <w:tcW w:type="dxa" w:w="2160"/>
            <w:shd w:fill="F0F4FA"/>
          </w:tcPr>
          <w:p>
            <w:r>
              <w:rPr>
                <w:rFonts w:ascii="Calibri" w:hAnsi="Calibri"/>
                <w:sz w:val="18"/>
              </w:rPr>
              <w:t>Artifacts, uploads, generated documents</w:t>
            </w:r>
          </w:p>
        </w:tc>
      </w:tr>
      <w:tr>
        <w:tc>
          <w:tcPr>
            <w:tcW w:type="dxa" w:w="2160"/>
          </w:tcPr>
          <w:p>
            <w:r>
              <w:rPr>
                <w:rFonts w:ascii="Calibri" w:hAnsi="Calibri"/>
                <w:sz w:val="18"/>
              </w:rPr>
              <w:t>Error Tracking</w:t>
            </w:r>
          </w:p>
        </w:tc>
        <w:tc>
          <w:tcPr>
            <w:tcW w:type="dxa" w:w="2160"/>
          </w:tcPr>
          <w:p>
            <w:r>
              <w:rPr>
                <w:rFonts w:ascii="Calibri" w:hAnsi="Calibri"/>
                <w:sz w:val="18"/>
              </w:rPr>
              <w:t>Sentry</w:t>
            </w:r>
          </w:p>
        </w:tc>
        <w:tc>
          <w:tcPr>
            <w:tcW w:type="dxa" w:w="2160"/>
          </w:tcPr>
          <w:p>
            <w:r>
              <w:rPr>
                <w:rFonts w:ascii="Calibri" w:hAnsi="Calibri"/>
                <w:sz w:val="18"/>
              </w:rPr>
              <w:t>N/A</w:t>
            </w:r>
          </w:p>
        </w:tc>
        <w:tc>
          <w:tcPr>
            <w:tcW w:type="dxa" w:w="2160"/>
          </w:tcPr>
          <w:p>
            <w:r>
              <w:rPr>
                <w:rFonts w:ascii="Calibri" w:hAnsi="Calibri"/>
                <w:sz w:val="18"/>
              </w:rPr>
              <w:t>DSN configured via SENTRY_DSN env var</w:t>
            </w:r>
          </w:p>
        </w:tc>
      </w:tr>
      <w:tr>
        <w:tc>
          <w:tcPr>
            <w:tcW w:type="dxa" w:w="2160"/>
            <w:shd w:fill="F0F4FA"/>
          </w:tcPr>
          <w:p>
            <w:r>
              <w:rPr>
                <w:rFonts w:ascii="Calibri" w:hAnsi="Calibri"/>
                <w:sz w:val="18"/>
              </w:rPr>
              <w:t>Backup</w:t>
            </w:r>
          </w:p>
        </w:tc>
        <w:tc>
          <w:tcPr>
            <w:tcW w:type="dxa" w:w="2160"/>
            <w:shd w:fill="F0F4FA"/>
          </w:tcPr>
          <w:p>
            <w:r>
              <w:rPr>
                <w:rFonts w:ascii="Calibri" w:hAnsi="Calibri"/>
                <w:sz w:val="18"/>
              </w:rPr>
              <w:t>pg-backup-s3</w:t>
            </w:r>
          </w:p>
        </w:tc>
        <w:tc>
          <w:tcPr>
            <w:tcW w:type="dxa" w:w="2160"/>
            <w:shd w:fill="F0F4FA"/>
          </w:tcPr>
          <w:p>
            <w:r>
              <w:rPr>
                <w:rFonts w:ascii="Calibri" w:hAnsi="Calibri"/>
                <w:sz w:val="18"/>
              </w:rPr>
              <w:t>N/A</w:t>
            </w:r>
          </w:p>
        </w:tc>
        <w:tc>
          <w:tcPr>
            <w:tcW w:type="dxa" w:w="2160"/>
            <w:shd w:fill="F0F4FA"/>
          </w:tcPr>
          <w:p>
            <w:r>
              <w:rPr>
                <w:rFonts w:ascii="Calibri" w:hAnsi="Calibri"/>
                <w:sz w:val="18"/>
              </w:rPr>
              <w:t>Hourly incremental, daily full, 30-day retention</w:t>
            </w:r>
          </w:p>
        </w:tc>
      </w:tr>
    </w:tbl>
    <w:p/>
    <w:p>
      <w:pPr>
        <w:pStyle w:val="Heading2"/>
      </w:pPr>
      <w:r>
        <w:rPr>
          <w:rFonts w:ascii="Calibri" w:hAnsi="Calibri"/>
          <w:color w:val="1E3A5F"/>
        </w:rPr>
        <w:t>5.2 Docker Deployment</w:t>
      </w:r>
    </w:p>
    <w:p>
      <w:pPr>
        <w:spacing w:before="80" w:after="80"/>
        <w:shd w:fill="F5F5F5"/>
      </w:pPr>
      <w:r>
        <w:rPr>
          <w:rFonts w:ascii="Courier New" w:hAnsi="Courier New"/>
          <w:color w:val="333333"/>
          <w:sz w:val="16"/>
        </w:rPr>
        <w:t># docker-compose.yml (simplified)</w:t>
        <w:br/>
        <w:t>services:</w:t>
        <w:br/>
        <w:t xml:space="preserve">  api:</w:t>
        <w:br/>
        <w:t xml:space="preserve">    build: ./backend</w:t>
        <w:br/>
        <w:t xml:space="preserve">    ports: ["8000:8000"]</w:t>
        <w:br/>
        <w:t xml:space="preserve">    env_file: .env</w:t>
        <w:br/>
        <w:t xml:space="preserve">    depends_on: [db, redis]</w:t>
        <w:br/>
        <w:t xml:space="preserve">  db:</w:t>
        <w:br/>
        <w:t xml:space="preserve">    image: pgvector/pgvector:pg15</w:t>
        <w:br/>
        <w:t xml:space="preserve">    volumes: [pgdata:/var/lib/postgresql/data]</w:t>
        <w:br/>
        <w:t xml:space="preserve">  redis:</w:t>
        <w:br/>
        <w:t xml:space="preserve">    image: redis:7-alpine</w:t>
        <w:br/>
        <w:t xml:space="preserve">  pgbouncer:</w:t>
        <w:br/>
        <w:t xml:space="preserve">    image: edoburu/pgbouncer</w:t>
        <w:br/>
        <w:t xml:space="preserve">    depends_on: [db]</w:t>
      </w:r>
    </w:p>
    <w:p>
      <w:pPr>
        <w:pStyle w:val="Heading2"/>
      </w:pPr>
      <w:r>
        <w:rPr>
          <w:rFonts w:ascii="Calibri" w:hAnsi="Calibri"/>
          <w:color w:val="1E3A5F"/>
        </w:rPr>
        <w:t>5.3 API Integration</w:t>
      </w:r>
    </w:p>
    <w:p>
      <w:r>
        <w:rPr>
          <w:rFonts w:ascii="Calibri" w:hAnsi="Calibri"/>
          <w:b w:val="0"/>
          <w:i w:val="0"/>
          <w:sz w:val="22"/>
        </w:rPr>
        <w:t>All API endpoints are documented in _api_docs.json (146 endpoints across 18 categories). Authentication uses JWT bearer tokens obtained via POST /api/v1/auth/login. Tokens expire after 15 minutes; refresh tokens last 7 days with automatic rotation.</w:t>
      </w:r>
    </w:p>
    <w:p>
      <w:pPr>
        <w:pStyle w:val="Heading2"/>
      </w:pPr>
      <w:r>
        <w:rPr>
          <w:rFonts w:ascii="Calibri" w:hAnsi="Calibri"/>
          <w:color w:val="1E3A5F"/>
        </w:rPr>
        <w:t>5.4 Webhook Setup</w:t>
      </w:r>
    </w:p>
    <w:p>
      <w:r>
        <w:rPr>
          <w:rFonts w:ascii="Calibri" w:hAnsi="Calibri"/>
          <w:b w:val="0"/>
          <w:i w:val="0"/>
          <w:sz w:val="22"/>
        </w:rPr>
        <w:t>Configure webhooks for event notifications:</w:t>
      </w:r>
    </w:p>
    <w:p>
      <w:pPr>
        <w:pStyle w:val="ListBullet"/>
      </w:pPr>
      <w:r>
        <w:rPr>
          <w:rFonts w:ascii="Calibri" w:hAnsi="Calibri"/>
          <w:sz w:val="22"/>
        </w:rPr>
        <w:t>project.created / project.completed: Notify external systems of project lifecycle events</w:t>
      </w:r>
    </w:p>
    <w:p>
      <w:pPr>
        <w:pStyle w:val="ListBullet"/>
      </w:pPr>
      <w:r>
        <w:rPr>
          <w:rFonts w:ascii="Calibri" w:hAnsi="Calibri"/>
          <w:sz w:val="22"/>
        </w:rPr>
        <w:t>evidence.discovered: Trigger downstream pipelines when new evidence is found</w:t>
      </w:r>
    </w:p>
    <w:p>
      <w:pPr>
        <w:pStyle w:val="ListBullet"/>
      </w:pPr>
      <w:r>
        <w:rPr>
          <w:rFonts w:ascii="Calibri" w:hAnsi="Calibri"/>
          <w:sz w:val="22"/>
        </w:rPr>
        <w:t>artifact.generated: Notify document management systems of new regulatory artifacts</w:t>
      </w:r>
    </w:p>
    <w:p>
      <w:pPr>
        <w:pStyle w:val="ListBullet"/>
      </w:pPr>
      <w:r>
        <w:rPr>
          <w:rFonts w:ascii="Calibri" w:hAnsi="Calibri"/>
          <w:sz w:val="22"/>
        </w:rPr>
        <w:t>review.decision: Integration with e-signature platforms for approval workflows</w:t>
      </w:r>
    </w:p>
    <w:p>
      <w:pPr>
        <w:pStyle w:val="Heading2"/>
      </w:pPr>
      <w:r>
        <w:rPr>
          <w:rFonts w:ascii="Calibri" w:hAnsi="Calibri"/>
          <w:color w:val="1E3A5F"/>
        </w:rPr>
        <w:t>5.5 Monitoring</w:t>
      </w:r>
    </w:p>
    <w:p>
      <w:r>
        <w:rPr>
          <w:rFonts w:ascii="Calibri" w:hAnsi="Calibri"/>
          <w:b w:val="0"/>
          <w:i w:val="0"/>
          <w:sz w:val="22"/>
        </w:rPr>
        <w:t>Key monitoring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rFonts w:ascii="Calibri" w:hAnsi="Calibri"/>
                <w:b/>
                <w:color w:val="FFFFFF"/>
                <w:sz w:val="20"/>
              </w:rPr>
              <w:t>Endpoint</w:t>
            </w:r>
          </w:p>
        </w:tc>
        <w:tc>
          <w:tcPr>
            <w:tcW w:type="dxa" w:w="2880"/>
            <w:shd w:fill="1E3A5F"/>
          </w:tcPr>
          <w:p>
            <w:r>
              <w:rPr>
                <w:rFonts w:ascii="Calibri" w:hAnsi="Calibri"/>
                <w:b/>
                <w:color w:val="FFFFFF"/>
                <w:sz w:val="20"/>
              </w:rPr>
              <w:t>Purpose</w:t>
            </w:r>
          </w:p>
        </w:tc>
        <w:tc>
          <w:tcPr>
            <w:tcW w:type="dxa" w:w="2880"/>
            <w:shd w:fill="1E3A5F"/>
          </w:tcPr>
          <w:p>
            <w:r>
              <w:rPr>
                <w:rFonts w:ascii="Calibri" w:hAnsi="Calibri"/>
                <w:b/>
                <w:color w:val="FFFFFF"/>
                <w:sz w:val="20"/>
              </w:rPr>
              <w:t>Frequency</w:t>
            </w:r>
          </w:p>
        </w:tc>
      </w:tr>
      <w:tr>
        <w:tc>
          <w:tcPr>
            <w:tcW w:type="dxa" w:w="2880"/>
          </w:tcPr>
          <w:p>
            <w:r>
              <w:rPr>
                <w:rFonts w:ascii="Calibri" w:hAnsi="Calibri"/>
                <w:sz w:val="18"/>
              </w:rPr>
              <w:t>GET /api/v1/health</w:t>
            </w:r>
          </w:p>
        </w:tc>
        <w:tc>
          <w:tcPr>
            <w:tcW w:type="dxa" w:w="2880"/>
          </w:tcPr>
          <w:p>
            <w:r>
              <w:rPr>
                <w:rFonts w:ascii="Calibri" w:hAnsi="Calibri"/>
                <w:sz w:val="18"/>
              </w:rPr>
              <w:t>Basic liveness probe</w:t>
            </w:r>
          </w:p>
        </w:tc>
        <w:tc>
          <w:tcPr>
            <w:tcW w:type="dxa" w:w="2880"/>
          </w:tcPr>
          <w:p>
            <w:r>
              <w:rPr>
                <w:rFonts w:ascii="Calibri" w:hAnsi="Calibri"/>
                <w:sz w:val="18"/>
              </w:rPr>
              <w:t>Every 10s (Kubernetes)</w:t>
            </w:r>
          </w:p>
        </w:tc>
      </w:tr>
      <w:tr>
        <w:tc>
          <w:tcPr>
            <w:tcW w:type="dxa" w:w="2880"/>
            <w:shd w:fill="F0F4FA"/>
          </w:tcPr>
          <w:p>
            <w:r>
              <w:rPr>
                <w:rFonts w:ascii="Calibri" w:hAnsi="Calibri"/>
                <w:sz w:val="18"/>
              </w:rPr>
              <w:t>GET /api/v1/system/health/detailed</w:t>
            </w:r>
          </w:p>
        </w:tc>
        <w:tc>
          <w:tcPr>
            <w:tcW w:type="dxa" w:w="2880"/>
            <w:shd w:fill="F0F4FA"/>
          </w:tcPr>
          <w:p>
            <w:r>
              <w:rPr>
                <w:rFonts w:ascii="Calibri" w:hAnsi="Calibri"/>
                <w:sz w:val="18"/>
              </w:rPr>
              <w:t>Component-level status</w:t>
            </w:r>
          </w:p>
        </w:tc>
        <w:tc>
          <w:tcPr>
            <w:tcW w:type="dxa" w:w="2880"/>
            <w:shd w:fill="F0F4FA"/>
          </w:tcPr>
          <w:p>
            <w:r>
              <w:rPr>
                <w:rFonts w:ascii="Calibri" w:hAnsi="Calibri"/>
                <w:sz w:val="18"/>
              </w:rPr>
              <w:t>Every 30s</w:t>
            </w:r>
          </w:p>
        </w:tc>
      </w:tr>
      <w:tr>
        <w:tc>
          <w:tcPr>
            <w:tcW w:type="dxa" w:w="2880"/>
          </w:tcPr>
          <w:p>
            <w:r>
              <w:rPr>
                <w:rFonts w:ascii="Calibri" w:hAnsi="Calibri"/>
                <w:sz w:val="18"/>
              </w:rPr>
              <w:t>GET /api/v1/system/metrics</w:t>
            </w:r>
          </w:p>
        </w:tc>
        <w:tc>
          <w:tcPr>
            <w:tcW w:type="dxa" w:w="2880"/>
          </w:tcPr>
          <w:p>
            <w:r>
              <w:rPr>
                <w:rFonts w:ascii="Calibri" w:hAnsi="Calibri"/>
                <w:sz w:val="18"/>
              </w:rPr>
              <w:t>Request latency, error rates</w:t>
            </w:r>
          </w:p>
        </w:tc>
        <w:tc>
          <w:tcPr>
            <w:tcW w:type="dxa" w:w="2880"/>
          </w:tcPr>
          <w:p>
            <w:r>
              <w:rPr>
                <w:rFonts w:ascii="Calibri" w:hAnsi="Calibri"/>
                <w:sz w:val="18"/>
              </w:rPr>
              <w:t>Every 60s (Prometheus scrape)</w:t>
            </w:r>
          </w:p>
        </w:tc>
      </w:tr>
      <w:tr>
        <w:tc>
          <w:tcPr>
            <w:tcW w:type="dxa" w:w="2880"/>
            <w:shd w:fill="F0F4FA"/>
          </w:tcPr>
          <w:p>
            <w:r>
              <w:rPr>
                <w:rFonts w:ascii="Calibri" w:hAnsi="Calibri"/>
                <w:sz w:val="18"/>
              </w:rPr>
              <w:t>GET /api/v1/system/cache-stats</w:t>
            </w:r>
          </w:p>
        </w:tc>
        <w:tc>
          <w:tcPr>
            <w:tcW w:type="dxa" w:w="2880"/>
            <w:shd w:fill="F0F4FA"/>
          </w:tcPr>
          <w:p>
            <w:r>
              <w:rPr>
                <w:rFonts w:ascii="Calibri" w:hAnsi="Calibri"/>
                <w:sz w:val="18"/>
              </w:rPr>
              <w:t>Redis hit/miss ratio</w:t>
            </w:r>
          </w:p>
        </w:tc>
        <w:tc>
          <w:tcPr>
            <w:tcW w:type="dxa" w:w="2880"/>
            <w:shd w:fill="F0F4FA"/>
          </w:tcPr>
          <w:p>
            <w:r>
              <w:rPr>
                <w:rFonts w:ascii="Calibri" w:hAnsi="Calibri"/>
                <w:sz w:val="18"/>
              </w:rPr>
              <w:t>Every 60s</w:t>
            </w:r>
          </w:p>
        </w:tc>
      </w:tr>
      <w:tr>
        <w:tc>
          <w:tcPr>
            <w:tcW w:type="dxa" w:w="2880"/>
          </w:tcPr>
          <w:p>
            <w:r>
              <w:rPr>
                <w:rFonts w:ascii="Calibri" w:hAnsi="Calibri"/>
                <w:sz w:val="18"/>
              </w:rPr>
              <w:t>GET /api/v1/system/storage-stats</w:t>
            </w:r>
          </w:p>
        </w:tc>
        <w:tc>
          <w:tcPr>
            <w:tcW w:type="dxa" w:w="2880"/>
          </w:tcPr>
          <w:p>
            <w:r>
              <w:rPr>
                <w:rFonts w:ascii="Calibri" w:hAnsi="Calibri"/>
                <w:sz w:val="18"/>
              </w:rPr>
              <w:t>S3 usage and file counts</w:t>
            </w:r>
          </w:p>
        </w:tc>
        <w:tc>
          <w:tcPr>
            <w:tcW w:type="dxa" w:w="2880"/>
          </w:tcPr>
          <w:p>
            <w:r>
              <w:rPr>
                <w:rFonts w:ascii="Calibri" w:hAnsi="Calibri"/>
                <w:sz w:val="18"/>
              </w:rPr>
              <w:t>Every 5m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