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E3A5F"/>
          <w:sz w:val="56"/>
        </w:rPr>
        <w:t>AFARENSIS ENTERPRISE</w:t>
      </w:r>
    </w:p>
    <w:p>
      <w:pPr>
        <w:jc w:val="center"/>
      </w:pPr>
      <w:r>
        <w:rPr>
          <w:rFonts w:ascii="Calibri" w:hAnsi="Calibri"/>
          <w:color w:val="1E3A5F"/>
          <w:sz w:val="40"/>
        </w:rPr>
        <w:t>Reference Guide</w:t>
      </w:r>
    </w:p>
    <w:p>
      <w:pPr>
        <w:jc w:val="center"/>
      </w:pPr>
      <w:r>
        <w:rPr>
          <w:rFonts w:ascii="Calibri" w:hAnsi="Calibri"/>
          <w:color w:val="2563EB"/>
          <w:sz w:val="28"/>
        </w:rPr>
        <w:t>Product Manager Edition</w:t>
      </w:r>
    </w:p>
    <w:p/>
    <w:p>
      <w:pPr>
        <w:jc w:val="center"/>
      </w:pPr>
      <w:r>
        <w:rPr>
          <w:rFonts w:ascii="Calibri" w:hAnsi="Calibri"/>
          <w:color w:val="666666"/>
          <w:sz w:val="22"/>
        </w:rPr>
        <w:t>Version v2.1  |  March 23, 2026</w:t>
      </w:r>
    </w:p>
    <w:p>
      <w:pPr>
        <w:jc w:val="center"/>
      </w:pPr>
      <w:r>
        <w:rPr>
          <w:rFonts w:ascii="Calibri" w:hAnsi="Calibri"/>
          <w:color w:val="666666"/>
          <w:sz w:val="22"/>
        </w:rPr>
        <w:t>Synthetic Ascension Pty Ltd</w:t>
      </w:r>
    </w:p>
    <w:p>
      <w:r>
        <w:br w:type="page"/>
      </w:r>
    </w:p>
    <w:p>
      <w:pPr>
        <w:pStyle w:val="Heading1"/>
      </w:pPr>
      <w:r>
        <w:rPr>
          <w:rFonts w:ascii="Calibri" w:hAnsi="Calibri"/>
          <w:color w:val="1E3A5F"/>
        </w:rPr>
        <w:t>1. Welcome to Afarensis</w:t>
      </w:r>
    </w:p>
    <w:p>
      <w:r>
        <w:rPr>
          <w:rFonts w:ascii="Calibri" w:hAnsi="Calibri"/>
          <w:b w:val="0"/>
          <w:i w:val="0"/>
          <w:sz w:val="22"/>
        </w:rPr>
        <w:t>Afarensis Enterprise is a regulatory-grade evidence synthesis and clinical study reporting platform. It automates the journey from literature discovery through statistical analysis to eCTD submission packaging, enabling biostatisticians, regulatory writers, and HEOR professionals to produce ICH E9(R1)-compliant deliverables in a fraction of the time.</w:t>
      </w:r>
    </w:p>
    <w:p>
      <w:r>
        <w:rPr>
          <w:rFonts w:ascii="Calibri" w:hAnsi="Calibri"/>
          <w:b/>
          <w:i w:val="0"/>
          <w:sz w:val="22"/>
        </w:rPr>
        <w:t>Who is it for?</w:t>
      </w:r>
    </w:p>
    <w:p>
      <w:pPr>
        <w:pStyle w:val="ListBullet"/>
      </w:pPr>
      <w:r>
        <w:rPr>
          <w:rFonts w:ascii="Calibri" w:hAnsi="Calibri"/>
          <w:sz w:val="22"/>
        </w:rPr>
        <w:t>Biostatisticians designing and executing causal inference studies</w:t>
      </w:r>
    </w:p>
    <w:p>
      <w:pPr>
        <w:pStyle w:val="ListBullet"/>
      </w:pPr>
      <w:r>
        <w:rPr>
          <w:rFonts w:ascii="Calibri" w:hAnsi="Calibri"/>
          <w:sz w:val="22"/>
        </w:rPr>
        <w:t>Regulatory medical writers assembling CSR, ADRG, and Define-XML</w:t>
      </w:r>
    </w:p>
    <w:p>
      <w:pPr>
        <w:pStyle w:val="ListBullet"/>
      </w:pPr>
      <w:r>
        <w:rPr>
          <w:rFonts w:ascii="Calibri" w:hAnsi="Calibri"/>
          <w:sz w:val="22"/>
        </w:rPr>
        <w:t>HEOR professionals conducting comparative effectiveness research</w:t>
      </w:r>
    </w:p>
    <w:p>
      <w:pPr>
        <w:pStyle w:val="ListBullet"/>
      </w:pPr>
      <w:r>
        <w:rPr>
          <w:rFonts w:ascii="Calibri" w:hAnsi="Calibri"/>
          <w:sz w:val="22"/>
        </w:rPr>
        <w:t>Clinical data managers producing CDISC ADaM and SDTM datasets</w:t>
      </w:r>
    </w:p>
    <w:p>
      <w:pPr>
        <w:pStyle w:val="ListBullet"/>
      </w:pPr>
      <w:r>
        <w:rPr>
          <w:rFonts w:ascii="Calibri" w:hAnsi="Calibri"/>
          <w:sz w:val="22"/>
        </w:rPr>
        <w:t>Quality assurance teams auditing study conduct for 21 CFR Part 11</w:t>
      </w:r>
    </w:p>
    <w:p>
      <w:r>
        <w:rPr>
          <w:rFonts w:ascii="Calibri" w:hAnsi="Calibri"/>
          <w:b/>
          <w:i w:val="0"/>
          <w:sz w:val="22"/>
        </w:rPr>
        <w:t>What problem does it solve?</w:t>
      </w:r>
    </w:p>
    <w:p>
      <w:r>
        <w:rPr>
          <w:rFonts w:ascii="Calibri" w:hAnsi="Calibri"/>
          <w:b w:val="0"/>
          <w:i w:val="0"/>
          <w:sz w:val="22"/>
        </w:rPr>
        <w:t>Traditional evidence synthesis requires manual searches across multiple databases, copying results into spreadsheets, running SAS programs offline, and manually assembling regulatory documents. Afarensis unifies these steps into a single, auditable, reproducible workflow with built-in regulatory compliance.</w:t>
      </w:r>
    </w:p>
    <w:p>
      <w:pPr>
        <w:pStyle w:val="Heading1"/>
      </w:pPr>
      <w:r>
        <w:rPr>
          <w:rFonts w:ascii="Calibri" w:hAnsi="Calibri"/>
          <w:color w:val="1E3A5F"/>
        </w:rPr>
        <w:t>2. The Interface</w:t>
      </w:r>
    </w:p>
    <w:p>
      <w:pPr>
        <w:pStyle w:val="Heading2"/>
      </w:pPr>
      <w:r>
        <w:rPr>
          <w:rFonts w:ascii="Calibri" w:hAnsi="Calibri"/>
          <w:color w:val="1E3A5F"/>
        </w:rPr>
        <w:t>2.1 Dashboard Layout</w:t>
      </w:r>
    </w:p>
    <w:p>
      <w:r>
        <w:rPr>
          <w:rFonts w:ascii="Calibri" w:hAnsi="Calibri"/>
          <w:b w:val="0"/>
          <w:i w:val="0"/>
          <w:sz w:val="22"/>
        </w:rPr>
        <w:t>The main dashboard displays project cards in a responsive grid. Each card shows the project name, therapeutic area, current status badge, evidence count, and progress bar indicating completion through the 10-step workflow.</w:t>
      </w:r>
    </w:p>
    <w:p>
      <w:pPr>
        <w:pStyle w:val="Heading2"/>
      </w:pPr>
      <w:r>
        <w:rPr>
          <w:rFonts w:ascii="Calibri" w:hAnsi="Calibri"/>
          <w:color w:val="1E3A5F"/>
        </w:rPr>
        <w:t>2.2 Sidebar Navigation</w:t>
      </w:r>
    </w:p>
    <w:p>
      <w:r>
        <w:rPr>
          <w:rFonts w:ascii="Calibri" w:hAnsi="Calibri"/>
          <w:b w:val="0"/>
          <w:i w:val="0"/>
          <w:sz w:val="22"/>
        </w:rPr>
        <w:t>The left sidebar contains the 10-step workflow navigator. Each step shows an icon, label, and status indicator (completed checkmark, in-progress spinner, or locked padlock). Steps unlock sequentially as prerequisites are met.</w:t>
      </w:r>
    </w:p>
    <w:p>
      <w:pPr>
        <w:pStyle w:val="Heading2"/>
      </w:pPr>
      <w:r>
        <w:rPr>
          <w:rFonts w:ascii="Calibri" w:hAnsi="Calibri"/>
          <w:color w:val="1E3A5F"/>
        </w:rPr>
        <w:t>2.3 Top Bar</w:t>
      </w:r>
    </w:p>
    <w:p>
      <w:r>
        <w:rPr>
          <w:rFonts w:ascii="Calibri" w:hAnsi="Calibri"/>
          <w:b w:val="0"/>
          <w:i w:val="0"/>
          <w:sz w:val="22"/>
        </w:rPr>
        <w:t>The top bar displays the Afarensis logo, current project name, user avatar with role badge, notification bell, and a global search field. The search supports semantic queries across all evidence records.</w:t>
      </w:r>
    </w:p>
    <w:p>
      <w:pPr>
        <w:pStyle w:val="Heading2"/>
      </w:pPr>
      <w:r>
        <w:rPr>
          <w:rFonts w:ascii="Calibri" w:hAnsi="Calibri"/>
          <w:color w:val="1E3A5F"/>
        </w:rPr>
        <w:t>2.4 Project Cards</w:t>
      </w:r>
    </w:p>
    <w:p>
      <w:r>
        <w:rPr>
          <w:rFonts w:ascii="Calibri" w:hAnsi="Calibri"/>
          <w:b w:val="0"/>
          <w:i w:val="0"/>
          <w:sz w:val="22"/>
        </w:rPr>
        <w:t>Each project card surfaces: project title, therapeutic area tag, status badge (Draft / Processing / Review / Completed / Archived), evidence record count, last-modified timestamp, and the assigned lead biostatistician.</w:t>
      </w:r>
    </w:p>
    <w:p>
      <w:pPr>
        <w:pStyle w:val="Heading1"/>
      </w:pPr>
      <w:r>
        <w:rPr>
          <w:rFonts w:ascii="Calibri" w:hAnsi="Calibri"/>
          <w:color w:val="1E3A5F"/>
        </w:rPr>
        <w:t>3. Visual Language</w:t>
      </w:r>
    </w:p>
    <w:p>
      <w:r>
        <w:rPr>
          <w:rFonts w:ascii="Calibri" w:hAnsi="Calibri"/>
          <w:b w:val="0"/>
          <w:i w:val="0"/>
          <w:sz w:val="22"/>
        </w:rPr>
        <w:t>Afarensis uses a consistent color system across the entire interface to communicate meaning at a glance.</w:t>
      </w:r>
    </w:p>
    <w:tbl>
      <w:tblPr>
        <w:tblStyle w:val="TableGrid"/>
        <w:tblW w:type="auto" w:w="0"/>
        <w:jc w:val="center"/>
        <w:tblLook w:firstColumn="1" w:firstRow="1" w:lastColumn="0" w:lastRow="0" w:noHBand="0" w:noVBand="1" w:val="04A0"/>
      </w:tblPr>
      <w:tblGrid>
        <w:gridCol w:w="4320"/>
        <w:gridCol w:w="4320"/>
      </w:tblGrid>
      <w:tr>
        <w:tc>
          <w:tcPr>
            <w:tcW w:type="dxa" w:w="4320"/>
            <w:shd w:fill="1E3A5F"/>
          </w:tcPr>
          <w:p>
            <w:r>
              <w:rPr>
                <w:rFonts w:ascii="Calibri" w:hAnsi="Calibri"/>
                <w:b/>
                <w:color w:val="FFFFFF"/>
                <w:sz w:val="20"/>
              </w:rPr>
              <w:t>Color</w:t>
            </w:r>
          </w:p>
        </w:tc>
        <w:tc>
          <w:tcPr>
            <w:tcW w:type="dxa" w:w="4320"/>
            <w:shd w:fill="1E3A5F"/>
          </w:tcPr>
          <w:p>
            <w:r>
              <w:rPr>
                <w:rFonts w:ascii="Calibri" w:hAnsi="Calibri"/>
                <w:b/>
                <w:color w:val="FFFFFF"/>
                <w:sz w:val="20"/>
              </w:rPr>
              <w:t>Usage</w:t>
            </w:r>
          </w:p>
        </w:tc>
      </w:tr>
      <w:tr>
        <w:tc>
          <w:tcPr>
            <w:tcW w:type="dxa" w:w="4320"/>
          </w:tcPr>
          <w:p>
            <w:r>
              <w:rPr>
                <w:rFonts w:ascii="Calibri" w:hAnsi="Calibri"/>
                <w:sz w:val="18"/>
              </w:rPr>
              <w:t>Navy (#1E3A5F)</w:t>
            </w:r>
          </w:p>
        </w:tc>
        <w:tc>
          <w:tcPr>
            <w:tcW w:type="dxa" w:w="4320"/>
          </w:tcPr>
          <w:p>
            <w:r>
              <w:rPr>
                <w:rFonts w:ascii="Calibri" w:hAnsi="Calibri"/>
                <w:sz w:val="18"/>
              </w:rPr>
              <w:t>Headers, primary brand, navigation backgrounds, table headers</w:t>
            </w:r>
          </w:p>
        </w:tc>
      </w:tr>
      <w:tr>
        <w:tc>
          <w:tcPr>
            <w:tcW w:type="dxa" w:w="4320"/>
            <w:shd w:fill="F0F4FA"/>
          </w:tcPr>
          <w:p>
            <w:r>
              <w:rPr>
                <w:rFonts w:ascii="Calibri" w:hAnsi="Calibri"/>
                <w:sz w:val="18"/>
              </w:rPr>
              <w:t>Blue (#2563EB)</w:t>
            </w:r>
          </w:p>
        </w:tc>
        <w:tc>
          <w:tcPr>
            <w:tcW w:type="dxa" w:w="4320"/>
            <w:shd w:fill="F0F4FA"/>
          </w:tcPr>
          <w:p>
            <w:r>
              <w:rPr>
                <w:rFonts w:ascii="Calibri" w:hAnsi="Calibri"/>
                <w:sz w:val="18"/>
              </w:rPr>
              <w:t>Interactive elements: links, buttons, active sidebar items, focused inputs</w:t>
            </w:r>
          </w:p>
        </w:tc>
      </w:tr>
      <w:tr>
        <w:tc>
          <w:tcPr>
            <w:tcW w:type="dxa" w:w="4320"/>
          </w:tcPr>
          <w:p>
            <w:r>
              <w:rPr>
                <w:rFonts w:ascii="Calibri" w:hAnsi="Calibri"/>
                <w:sz w:val="18"/>
              </w:rPr>
              <w:t>Green badges</w:t>
            </w:r>
          </w:p>
        </w:tc>
        <w:tc>
          <w:tcPr>
            <w:tcW w:type="dxa" w:w="4320"/>
          </w:tcPr>
          <w:p>
            <w:r>
              <w:rPr>
                <w:rFonts w:ascii="Calibri" w:hAnsi="Calibri"/>
                <w:sz w:val="18"/>
              </w:rPr>
              <w:t>Completed items, passing validations, successful operations, balanced covariates</w:t>
            </w:r>
          </w:p>
        </w:tc>
      </w:tr>
      <w:tr>
        <w:tc>
          <w:tcPr>
            <w:tcW w:type="dxa" w:w="4320"/>
            <w:shd w:fill="F0F4FA"/>
          </w:tcPr>
          <w:p>
            <w:r>
              <w:rPr>
                <w:rFonts w:ascii="Calibri" w:hAnsi="Calibri"/>
                <w:sz w:val="18"/>
              </w:rPr>
              <w:t>Orange / Amber badges</w:t>
            </w:r>
          </w:p>
        </w:tc>
        <w:tc>
          <w:tcPr>
            <w:tcW w:type="dxa" w:w="4320"/>
            <w:shd w:fill="F0F4FA"/>
          </w:tcPr>
          <w:p>
            <w:r>
              <w:rPr>
                <w:rFonts w:ascii="Calibri" w:hAnsi="Calibri"/>
                <w:sz w:val="18"/>
              </w:rPr>
              <w:t>Warnings, in-progress items, approaching thresholds (e.g., SMD near 0.10)</w:t>
            </w:r>
          </w:p>
        </w:tc>
      </w:tr>
      <w:tr>
        <w:tc>
          <w:tcPr>
            <w:tcW w:type="dxa" w:w="4320"/>
          </w:tcPr>
          <w:p>
            <w:r>
              <w:rPr>
                <w:rFonts w:ascii="Calibri" w:hAnsi="Calibri"/>
                <w:sz w:val="18"/>
              </w:rPr>
              <w:t>Red badges</w:t>
            </w:r>
          </w:p>
        </w:tc>
        <w:tc>
          <w:tcPr>
            <w:tcW w:type="dxa" w:w="4320"/>
          </w:tcPr>
          <w:p>
            <w:r>
              <w:rPr>
                <w:rFonts w:ascii="Calibri" w:hAnsi="Calibri"/>
                <w:sz w:val="18"/>
              </w:rPr>
              <w:t>Errors, failed validations, critical alerts, unbalanced covariates</w:t>
            </w:r>
          </w:p>
        </w:tc>
      </w:tr>
      <w:tr>
        <w:tc>
          <w:tcPr>
            <w:tcW w:type="dxa" w:w="4320"/>
            <w:shd w:fill="F0F4FA"/>
          </w:tcPr>
          <w:p>
            <w:r>
              <w:rPr>
                <w:rFonts w:ascii="Calibri" w:hAnsi="Calibri"/>
                <w:sz w:val="18"/>
              </w:rPr>
              <w:t>Gray</w:t>
            </w:r>
          </w:p>
        </w:tc>
        <w:tc>
          <w:tcPr>
            <w:tcW w:type="dxa" w:w="4320"/>
            <w:shd w:fill="F0F4FA"/>
          </w:tcPr>
          <w:p>
            <w:r>
              <w:rPr>
                <w:rFonts w:ascii="Calibri" w:hAnsi="Calibri"/>
                <w:sz w:val="18"/>
              </w:rPr>
              <w:t>Disabled elements, secondary text, locked steps, placeholder text</w:t>
            </w:r>
          </w:p>
        </w:tc>
      </w:tr>
    </w:tbl>
    <w:p/>
    <w:p>
      <w:pPr>
        <w:pStyle w:val="Heading1"/>
      </w:pPr>
      <w:r>
        <w:rPr>
          <w:rFonts w:ascii="Calibri" w:hAnsi="Calibri"/>
          <w:color w:val="1E3A5F"/>
        </w:rPr>
        <w:t>4. Project Lifecycle</w:t>
      </w:r>
    </w:p>
    <w:p>
      <w:r>
        <w:rPr>
          <w:rFonts w:ascii="Calibri" w:hAnsi="Calibri"/>
          <w:b w:val="0"/>
          <w:i w:val="0"/>
          <w:sz w:val="22"/>
        </w:rPr>
        <w:t>Every project moves through five states. Transitions are triggered by specific actions and are logged in the audit trail.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r>
              <w:rPr>
                <w:rFonts w:ascii="Calibri" w:hAnsi="Calibri"/>
                <w:b/>
                <w:color w:val="FFFFFF"/>
                <w:sz w:val="20"/>
              </w:rPr>
              <w:t>State</w:t>
            </w:r>
          </w:p>
        </w:tc>
        <w:tc>
          <w:tcPr>
            <w:tcW w:type="dxa" w:w="2880"/>
            <w:shd w:fill="1E3A5F"/>
          </w:tcPr>
          <w:p>
            <w:r>
              <w:rPr>
                <w:rFonts w:ascii="Calibri" w:hAnsi="Calibri"/>
                <w:b/>
                <w:color w:val="FFFFFF"/>
                <w:sz w:val="20"/>
              </w:rPr>
              <w:t>Description</w:t>
            </w:r>
          </w:p>
        </w:tc>
        <w:tc>
          <w:tcPr>
            <w:tcW w:type="dxa" w:w="2880"/>
            <w:shd w:fill="1E3A5F"/>
          </w:tcPr>
          <w:p>
            <w:r>
              <w:rPr>
                <w:rFonts w:ascii="Calibri" w:hAnsi="Calibri"/>
                <w:b/>
                <w:color w:val="FFFFFF"/>
                <w:sz w:val="20"/>
              </w:rPr>
              <w:t>Transition Trigger</w:t>
            </w:r>
          </w:p>
        </w:tc>
      </w:tr>
      <w:tr>
        <w:tc>
          <w:tcPr>
            <w:tcW w:type="dxa" w:w="2880"/>
          </w:tcPr>
          <w:p>
            <w:r>
              <w:rPr>
                <w:rFonts w:ascii="Calibri" w:hAnsi="Calibri"/>
                <w:sz w:val="18"/>
              </w:rPr>
              <w:t>Draft</w:t>
            </w:r>
          </w:p>
        </w:tc>
        <w:tc>
          <w:tcPr>
            <w:tcW w:type="dxa" w:w="2880"/>
          </w:tcPr>
          <w:p>
            <w:r>
              <w:rPr>
                <w:rFonts w:ascii="Calibri" w:hAnsi="Calibri"/>
                <w:sz w:val="18"/>
              </w:rPr>
              <w:t>Project created; study definition in progress</w:t>
            </w:r>
          </w:p>
        </w:tc>
        <w:tc>
          <w:tcPr>
            <w:tcW w:type="dxa" w:w="2880"/>
          </w:tcPr>
          <w:p>
            <w:r>
              <w:rPr>
                <w:rFonts w:ascii="Calibri" w:hAnsi="Calibri"/>
                <w:sz w:val="18"/>
              </w:rPr>
              <w:t>Complete study definition and lock protocol</w:t>
            </w:r>
          </w:p>
        </w:tc>
      </w:tr>
      <w:tr>
        <w:tc>
          <w:tcPr>
            <w:tcW w:type="dxa" w:w="2880"/>
            <w:shd w:fill="F0F4FA"/>
          </w:tcPr>
          <w:p>
            <w:r>
              <w:rPr>
                <w:rFonts w:ascii="Calibri" w:hAnsi="Calibri"/>
                <w:sz w:val="18"/>
              </w:rPr>
              <w:t>Processing</w:t>
            </w:r>
          </w:p>
        </w:tc>
        <w:tc>
          <w:tcPr>
            <w:tcW w:type="dxa" w:w="2880"/>
            <w:shd w:fill="F0F4FA"/>
          </w:tcPr>
          <w:p>
            <w:r>
              <w:rPr>
                <w:rFonts w:ascii="Calibri" w:hAnsi="Calibri"/>
                <w:sz w:val="18"/>
              </w:rPr>
              <w:t>Evidence discovery, analysis, and generation running</w:t>
            </w:r>
          </w:p>
        </w:tc>
        <w:tc>
          <w:tcPr>
            <w:tcW w:type="dxa" w:w="2880"/>
            <w:shd w:fill="F0F4FA"/>
          </w:tcPr>
          <w:p>
            <w:r>
              <w:rPr>
                <w:rFonts w:ascii="Calibri" w:hAnsi="Calibri"/>
                <w:sz w:val="18"/>
              </w:rPr>
              <w:t>All 10 steps completed and reviewed</w:t>
            </w:r>
          </w:p>
        </w:tc>
      </w:tr>
      <w:tr>
        <w:tc>
          <w:tcPr>
            <w:tcW w:type="dxa" w:w="2880"/>
          </w:tcPr>
          <w:p>
            <w:r>
              <w:rPr>
                <w:rFonts w:ascii="Calibri" w:hAnsi="Calibri"/>
                <w:sz w:val="18"/>
              </w:rPr>
              <w:t>Review</w:t>
            </w:r>
          </w:p>
        </w:tc>
        <w:tc>
          <w:tcPr>
            <w:tcW w:type="dxa" w:w="2880"/>
          </w:tcPr>
          <w:p>
            <w:r>
              <w:rPr>
                <w:rFonts w:ascii="Calibri" w:hAnsi="Calibri"/>
                <w:sz w:val="18"/>
              </w:rPr>
              <w:t>Reviewer(s) assessing evidence decisions and outputs</w:t>
            </w:r>
          </w:p>
        </w:tc>
        <w:tc>
          <w:tcPr>
            <w:tcW w:type="dxa" w:w="2880"/>
          </w:tcPr>
          <w:p>
            <w:r>
              <w:rPr>
                <w:rFonts w:ascii="Calibri" w:hAnsi="Calibri"/>
                <w:sz w:val="18"/>
              </w:rPr>
              <w:t>All review decisions submitted with e-signatures</w:t>
            </w:r>
          </w:p>
        </w:tc>
      </w:tr>
      <w:tr>
        <w:tc>
          <w:tcPr>
            <w:tcW w:type="dxa" w:w="2880"/>
            <w:shd w:fill="F0F4FA"/>
          </w:tcPr>
          <w:p>
            <w:r>
              <w:rPr>
                <w:rFonts w:ascii="Calibri" w:hAnsi="Calibri"/>
                <w:sz w:val="18"/>
              </w:rPr>
              <w:t>Completed</w:t>
            </w:r>
          </w:p>
        </w:tc>
        <w:tc>
          <w:tcPr>
            <w:tcW w:type="dxa" w:w="2880"/>
            <w:shd w:fill="F0F4FA"/>
          </w:tcPr>
          <w:p>
            <w:r>
              <w:rPr>
                <w:rFonts w:ascii="Calibri" w:hAnsi="Calibri"/>
                <w:sz w:val="18"/>
              </w:rPr>
              <w:t>All outputs generated and approved</w:t>
            </w:r>
          </w:p>
        </w:tc>
        <w:tc>
          <w:tcPr>
            <w:tcW w:type="dxa" w:w="2880"/>
            <w:shd w:fill="F0F4FA"/>
          </w:tcPr>
          <w:p>
            <w:r>
              <w:rPr>
                <w:rFonts w:ascii="Calibri" w:hAnsi="Calibri"/>
                <w:sz w:val="18"/>
              </w:rPr>
              <w:t>Admin archives or exports eCTD</w:t>
            </w:r>
          </w:p>
        </w:tc>
      </w:tr>
      <w:tr>
        <w:tc>
          <w:tcPr>
            <w:tcW w:type="dxa" w:w="2880"/>
          </w:tcPr>
          <w:p>
            <w:r>
              <w:rPr>
                <w:rFonts w:ascii="Calibri" w:hAnsi="Calibri"/>
                <w:sz w:val="18"/>
              </w:rPr>
              <w:t>Archived</w:t>
            </w:r>
          </w:p>
        </w:tc>
        <w:tc>
          <w:tcPr>
            <w:tcW w:type="dxa" w:w="2880"/>
          </w:tcPr>
          <w:p>
            <w:r>
              <w:rPr>
                <w:rFonts w:ascii="Calibri" w:hAnsi="Calibri"/>
                <w:sz w:val="18"/>
              </w:rPr>
              <w:t>Read-only historical record</w:t>
            </w:r>
          </w:p>
        </w:tc>
        <w:tc>
          <w:tcPr>
            <w:tcW w:type="dxa" w:w="2880"/>
          </w:tcPr>
          <w:p>
            <w:r>
              <w:rPr>
                <w:rFonts w:ascii="Calibri" w:hAnsi="Calibri"/>
                <w:sz w:val="18"/>
              </w:rPr>
              <w:t>Admin unarchives (returns to Completed)</w:t>
            </w:r>
          </w:p>
        </w:tc>
      </w:tr>
    </w:tbl>
    <w:p/>
    <w:p>
      <w:pPr>
        <w:pStyle w:val="Heading1"/>
      </w:pPr>
      <w:r>
        <w:rPr>
          <w:rFonts w:ascii="Calibri" w:hAnsi="Calibri"/>
          <w:color w:val="1E3A5F"/>
        </w:rPr>
        <w:t>5. The 10-Step Workflow</w:t>
      </w:r>
    </w:p>
    <w:p>
      <w:pPr>
        <w:pStyle w:val="Heading2"/>
      </w:pPr>
      <w:r>
        <w:rPr>
          <w:rFonts w:ascii="Calibri" w:hAnsi="Calibri"/>
          <w:color w:val="1E3A5F"/>
        </w:rPr>
        <w:t>5.1 Step 1: Study Definition</w:t>
      </w:r>
    </w:p>
    <w:p>
      <w:r>
        <w:rPr>
          <w:rFonts w:ascii="Calibri" w:hAnsi="Calibri"/>
          <w:b w:val="0"/>
          <w:i w:val="0"/>
          <w:sz w:val="22"/>
        </w:rPr>
        <w:t>Configure the fundamental parameters of your study: title, therapeutic area, indication, study design (RCT, cohort, case-control), primary endpoint, treatment and comparator arms.</w:t>
      </w:r>
    </w:p>
    <w:p>
      <w:r>
        <w:rPr>
          <w:rFonts w:ascii="Calibri" w:hAnsi="Calibri"/>
          <w:b w:val="0"/>
          <w:i w:val="0"/>
          <w:sz w:val="22"/>
        </w:rPr>
        <w:t>Form fields include: Study ID (auto-generated), Study Title, Indication (ICD-10 coded), Phase (I-IV or observational), Design Type, Primary Endpoint (time-to-event, binary, continuous), Treatment Arm description, Comparator Arm description, Target Sample Size, and Alpha Level.</w:t>
      </w:r>
    </w:p>
    <w:p>
      <w:r>
        <w:rPr>
          <w:rFonts w:ascii="Calibri" w:hAnsi="Calibri"/>
          <w:b w:val="0"/>
          <w:i w:val="0"/>
          <w:sz w:val="22"/>
        </w:rPr>
        <w:t>Once locked via the Lock Protocol button, the study definition becomes immutable and an audit log entry records the locking user, timestamp, and protocol hash.</w:t>
      </w:r>
    </w:p>
    <w:p>
      <w:pPr>
        <w:pStyle w:val="Heading2"/>
      </w:pPr>
      <w:r>
        <w:rPr>
          <w:rFonts w:ascii="Calibri" w:hAnsi="Calibri"/>
          <w:color w:val="1E3A5F"/>
        </w:rPr>
        <w:t>5.2 Step 2: Causal Framework</w:t>
      </w:r>
    </w:p>
    <w:p>
      <w:r>
        <w:rPr>
          <w:rFonts w:ascii="Calibri" w:hAnsi="Calibri"/>
          <w:b w:val="0"/>
          <w:i w:val="0"/>
          <w:sz w:val="22"/>
        </w:rPr>
        <w:t>The DAG (Directed Acyclic Graph) editor allows you to define causal relationships between variables. Select covariates from a categorized list (demographics, clinical, laboratory, concomitant medications) and draw directed edges to specify assumed causal paths.</w:t>
      </w:r>
    </w:p>
    <w:p>
      <w:r>
        <w:rPr>
          <w:rFonts w:ascii="Calibri" w:hAnsi="Calibri"/>
          <w:b w:val="0"/>
          <w:i w:val="0"/>
          <w:sz w:val="22"/>
        </w:rPr>
        <w:t>The system identifies confounders, mediators, and colliders, then recommends an adjustment set. Covariates in the adjustment set are automatically carried forward to the balance assessment step.</w:t>
      </w:r>
    </w:p>
    <w:p>
      <w:pPr>
        <w:pStyle w:val="Heading2"/>
      </w:pPr>
      <w:r>
        <w:rPr>
          <w:rFonts w:ascii="Calibri" w:hAnsi="Calibri"/>
          <w:color w:val="1E3A5F"/>
        </w:rPr>
        <w:t>5.3 Step 3: Data Provenance</w:t>
      </w:r>
    </w:p>
    <w:p>
      <w:r>
        <w:rPr>
          <w:rFonts w:ascii="Calibri" w:hAnsi="Calibri"/>
          <w:b w:val="0"/>
          <w:i w:val="0"/>
          <w:sz w:val="22"/>
        </w:rPr>
        <w:t>Evidence sources are searched in parallel. Each source displays a colored badge indicating its origin: PubMed (blue), ClinicalTrials.gov (green), OpenAlex (orange), Semantic Scholar (purple), and BioGPT (pink, for AI-generated summaries).</w:t>
      </w:r>
    </w:p>
    <w:p>
      <w:r>
        <w:rPr>
          <w:rFonts w:ascii="Calibri" w:hAnsi="Calibri"/>
          <w:b w:val="0"/>
          <w:i w:val="0"/>
          <w:sz w:val="22"/>
        </w:rPr>
        <w:t>Records are deduplicated by DOI and title similarity. Each record receives a relevance score (0-100) computed by the AI critique engine. Provenance metadata includes retrieval timestamp, query parameters, and source API response identifiers.</w:t>
      </w:r>
    </w:p>
    <w:p>
      <w:pPr>
        <w:pStyle w:val="Heading2"/>
      </w:pPr>
      <w:r>
        <w:rPr>
          <w:rFonts w:ascii="Calibri" w:hAnsi="Calibri"/>
          <w:color w:val="1E3A5F"/>
        </w:rPr>
        <w:t>5.4 Step 4: Cohort Construction</w:t>
      </w:r>
    </w:p>
    <w:p>
      <w:r>
        <w:rPr>
          <w:rFonts w:ascii="Calibri" w:hAnsi="Calibri"/>
          <w:b w:val="0"/>
          <w:i w:val="0"/>
          <w:sz w:val="22"/>
        </w:rPr>
        <w:t>Define inclusion and exclusion criteria as structured rules. Each criterion specifies a variable, operator (equals, greater than, contains, between), and threshold value.</w:t>
      </w:r>
    </w:p>
    <w:p>
      <w:r>
        <w:rPr>
          <w:rFonts w:ascii="Calibri" w:hAnsi="Calibri"/>
          <w:b w:val="0"/>
          <w:i w:val="0"/>
          <w:sz w:val="22"/>
        </w:rPr>
        <w:t>The attrition funnel visualization shows how many subjects remain after each criterion is applied sequentially. Green bars indicate criteria retaining &gt; 80% of subjects; amber bars indicate 50-80% retention; red bars indicate &lt; 50% retention.</w:t>
      </w:r>
    </w:p>
    <w:p>
      <w:pPr>
        <w:pStyle w:val="Heading2"/>
      </w:pPr>
      <w:r>
        <w:rPr>
          <w:rFonts w:ascii="Calibri" w:hAnsi="Calibri"/>
          <w:color w:val="1E3A5F"/>
        </w:rPr>
        <w:t>5.5 Step 5: Comparability &amp; Balance</w:t>
      </w:r>
    </w:p>
    <w:p>
      <w:r>
        <w:rPr>
          <w:rFonts w:ascii="Calibri" w:hAnsi="Calibri"/>
          <w:b w:val="0"/>
          <w:i w:val="0"/>
          <w:sz w:val="22"/>
        </w:rPr>
        <w:t>The Love plot displays the Standardized Mean Difference (SMD) for each covariate before and after propensity score adjustment (IPTW). Covariates with SMD &lt; 0.10 appear as green dots (balanced); those with SMD between 0.10 and 0.25 appear as amber dots; and those with SMD &gt; 0.25 appear as red dots (critically unbalanced).</w:t>
      </w:r>
    </w:p>
    <w:p>
      <w:r>
        <w:rPr>
          <w:rFonts w:ascii="Calibri" w:hAnsi="Calibri"/>
          <w:b w:val="0"/>
          <w:i w:val="0"/>
          <w:sz w:val="22"/>
        </w:rPr>
        <w:t>The 0.10 threshold is the conventional standard recommended by Austin (2011) for declaring covariate balance. The system flags any covariate exceeding this threshold and suggests remedial actions: additional covariates, different PS model, or trimming extreme weights.</w:t>
      </w:r>
    </w:p>
    <w:p>
      <w:pPr>
        <w:pStyle w:val="Heading2"/>
      </w:pPr>
      <w:r>
        <w:rPr>
          <w:rFonts w:ascii="Calibri" w:hAnsi="Calibri"/>
          <w:color w:val="1E3A5F"/>
        </w:rPr>
        <w:t>5.6 Step 6: Bias &amp; Sensitivity</w:t>
      </w:r>
    </w:p>
    <w:p>
      <w:r>
        <w:rPr>
          <w:rFonts w:ascii="Calibri" w:hAnsi="Calibri"/>
          <w:b w:val="0"/>
          <w:i w:val="0"/>
          <w:sz w:val="22"/>
        </w:rPr>
        <w:t>Five bias types are assessed: selection bias, information bias, confounding, attrition bias, and reporting bias. Each receives a severity rating (low, moderate, high, critical).</w:t>
      </w:r>
    </w:p>
    <w:p>
      <w:r>
        <w:rPr>
          <w:rFonts w:ascii="Calibri" w:hAnsi="Calibri"/>
          <w:b w:val="0"/>
          <w:i w:val="0"/>
          <w:sz w:val="22"/>
        </w:rPr>
        <w:t>The E-value quantifies the minimum strength of association that an unmeasured confounder would need with both treatment and outcome to explain away the observed effect. Higher E-values indicate more robust results.</w:t>
      </w:r>
    </w:p>
    <w:p>
      <w:r>
        <w:rPr>
          <w:rFonts w:ascii="Calibri" w:hAnsi="Calibri"/>
          <w:b w:val="0"/>
          <w:i w:val="0"/>
          <w:sz w:val="22"/>
        </w:rPr>
        <w:t>The sensitivity catalog offers: Rosenbaum bounds, Manski bounds, tipping-point analysis, probabilistic bias analysis, and negative control outcome analysis.</w:t>
      </w:r>
    </w:p>
    <w:p>
      <w:pPr>
        <w:pStyle w:val="Heading2"/>
      </w:pPr>
      <w:r>
        <w:rPr>
          <w:rFonts w:ascii="Calibri" w:hAnsi="Calibri"/>
          <w:color w:val="1E3A5F"/>
        </w:rPr>
        <w:t>5.7 Step 7: Effect Estimation</w:t>
      </w:r>
    </w:p>
    <w:p>
      <w:r>
        <w:rPr>
          <w:rFonts w:ascii="Calibri" w:hAnsi="Calibri"/>
          <w:b w:val="0"/>
          <w:i w:val="0"/>
          <w:sz w:val="22"/>
        </w:rPr>
        <w:t>The forest plot displays the primary analysis result (e.g., Cox PH hazard ratio) as a diamond, with subgroup analyses and sensitivity analyses as individual squares with confidence intervals.</w:t>
      </w:r>
    </w:p>
    <w:p>
      <w:r>
        <w:rPr>
          <w:rFonts w:ascii="Calibri" w:hAnsi="Calibri"/>
          <w:b w:val="0"/>
          <w:i w:val="0"/>
          <w:sz w:val="22"/>
        </w:rPr>
        <w:t>The Show Your Work drawer contains six tabs: (1) Model Specification, showing the exact regression formula; (2) Diagnostics, with residual plots; (3) Assumptions, listing checked model assumptions; (4) Code, the reproducible Python/R code; (5) Interpretation, a plain-English summary; (6) Audit, the timestamp and user who ran the analysis.</w:t>
      </w:r>
    </w:p>
    <w:p>
      <w:r>
        <w:rPr>
          <w:rFonts w:ascii="Calibri" w:hAnsi="Calibri"/>
          <w:b w:val="0"/>
          <w:i w:val="0"/>
          <w:sz w:val="22"/>
        </w:rPr>
        <w:t>Multiplicity adjustment methods include: Bonferroni, Holm, Hochberg, Benjamini-Hochberg (FDR), and fixed-sequence testing.</w:t>
      </w:r>
    </w:p>
    <w:p>
      <w:pPr>
        <w:pStyle w:val="Heading2"/>
      </w:pPr>
      <w:r>
        <w:rPr>
          <w:rFonts w:ascii="Calibri" w:hAnsi="Calibri"/>
          <w:color w:val="1E3A5F"/>
        </w:rPr>
        <w:t>5.8 Step 8: Reproducibility</w:t>
      </w:r>
    </w:p>
    <w:p>
      <w:r>
        <w:rPr>
          <w:rFonts w:ascii="Calibri" w:hAnsi="Calibri"/>
          <w:b w:val="0"/>
          <w:i w:val="0"/>
          <w:sz w:val="22"/>
        </w:rPr>
        <w:t>The environment manifest records: Python version, all package versions (pip freeze), operating system, CPU architecture, random seed, and database schema hash.</w:t>
      </w:r>
    </w:p>
    <w:p>
      <w:r>
        <w:rPr>
          <w:rFonts w:ascii="Calibri" w:hAnsi="Calibri"/>
          <w:b w:val="0"/>
          <w:i w:val="0"/>
          <w:sz w:val="22"/>
        </w:rPr>
        <w:t>Package versions are pinned at analysis execution time. Any subsequent run with different versions triggers a warning in the audit trail.</w:t>
      </w:r>
    </w:p>
    <w:p>
      <w:pPr>
        <w:pStyle w:val="Heading2"/>
      </w:pPr>
      <w:r>
        <w:rPr>
          <w:rFonts w:ascii="Calibri" w:hAnsi="Calibri"/>
          <w:color w:val="1E3A5F"/>
        </w:rPr>
        <w:t>5.9 Step 9: Audit Trail</w:t>
      </w:r>
    </w:p>
    <w:p>
      <w:r>
        <w:rPr>
          <w:rFonts w:ascii="Calibri" w:hAnsi="Calibri"/>
          <w:b w:val="0"/>
          <w:i w:val="0"/>
          <w:sz w:val="22"/>
        </w:rPr>
        <w:t>Every significant action is logged: study definition changes, evidence decisions, analysis runs, document generation, user logins, role changes, and artifact downloads.</w:t>
      </w:r>
    </w:p>
    <w:p>
      <w:r>
        <w:rPr>
          <w:rFonts w:ascii="Calibri" w:hAnsi="Calibri"/>
          <w:b w:val="0"/>
          <w:i w:val="0"/>
          <w:sz w:val="22"/>
        </w:rPr>
        <w:t>Each audit entry contains: event type, timestamp (UTC), user ID, user role, IP address, previous value (for changes), new value, and a SHA-256 hash of the event payload.</w:t>
      </w:r>
    </w:p>
    <w:p>
      <w:r>
        <w:rPr>
          <w:rFonts w:ascii="Calibri" w:hAnsi="Calibri"/>
          <w:b w:val="0"/>
          <w:i w:val="0"/>
          <w:sz w:val="22"/>
        </w:rPr>
        <w:t>Retention policy: 7 years, consistent with ICH E6(R2) GCP requirements and 21 CFR Part 11 electronic records regulations. Audit logs cannot be modified or deleted.</w:t>
      </w:r>
    </w:p>
    <w:p>
      <w:pPr>
        <w:pStyle w:val="Heading2"/>
      </w:pPr>
      <w:r>
        <w:rPr>
          <w:rFonts w:ascii="Calibri" w:hAnsi="Calibri"/>
          <w:color w:val="1E3A5F"/>
        </w:rPr>
        <w:t>5.10 Step 10: Regulatory Output</w:t>
      </w:r>
    </w:p>
    <w:p>
      <w:r>
        <w:rPr>
          <w:rFonts w:ascii="Calibri" w:hAnsi="Calibri"/>
          <w:b w:val="0"/>
          <w:i w:val="0"/>
          <w:sz w:val="22"/>
        </w:rPr>
        <w:t>Tables, Figures, and Listings (TFLs): Demographics table (Table 14.1.1), Adverse Events table (Table 14.3.1), Kaplan-Meier curves (Figure 14.2.1), Forest plot (Figure 14.2.2), and Love plot (Figure 14.1.1).</w:t>
      </w:r>
    </w:p>
    <w:p>
      <w:r>
        <w:rPr>
          <w:rFonts w:ascii="Calibri" w:hAnsi="Calibri"/>
          <w:b w:val="0"/>
          <w:i w:val="0"/>
          <w:sz w:val="22"/>
        </w:rPr>
        <w:t>Regulatory documents: Statistical Analysis Plan (SAP), Clinical Study Report (CSR) with Synopsis, Section 11 (Efficacy), Section 12 (Safety), and Appendix 16.</w:t>
      </w:r>
    </w:p>
    <w:p>
      <w:r>
        <w:rPr>
          <w:rFonts w:ascii="Calibri" w:hAnsi="Calibri"/>
          <w:b w:val="0"/>
          <w:i w:val="0"/>
          <w:sz w:val="22"/>
        </w:rPr>
        <w:t>Submission artifacts: Analysis Data Reviewer's Guide (ADRG), Define-XML 2.1, eCTD Module 5 package with Study Tagging File, SDTM domains (DM, AE, LB, VS, EX, DS), and ADaM datasets (ADSL, ADAE, ADTTE).</w:t>
      </w:r>
    </w:p>
    <w:p>
      <w:pPr>
        <w:pStyle w:val="Heading1"/>
      </w:pPr>
      <w:r>
        <w:rPr>
          <w:rFonts w:ascii="Calibri" w:hAnsi="Calibri"/>
          <w:color w:val="1E3A5F"/>
        </w:rPr>
        <w:t>6. Evidence Source Integration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E3A5F"/>
          </w:tcPr>
          <w:p>
            <w:r>
              <w:rPr>
                <w:rFonts w:ascii="Calibri" w:hAnsi="Calibri"/>
                <w:b/>
                <w:color w:val="FFFFFF"/>
                <w:sz w:val="20"/>
              </w:rPr>
              <w:t>Source</w:t>
            </w:r>
          </w:p>
        </w:tc>
        <w:tc>
          <w:tcPr>
            <w:tcW w:type="dxa" w:w="1728"/>
            <w:shd w:fill="1E3A5F"/>
          </w:tcPr>
          <w:p>
            <w:r>
              <w:rPr>
                <w:rFonts w:ascii="Calibri" w:hAnsi="Calibri"/>
                <w:b/>
                <w:color w:val="FFFFFF"/>
                <w:sz w:val="20"/>
              </w:rPr>
              <w:t>Badge Color</w:t>
            </w:r>
          </w:p>
        </w:tc>
        <w:tc>
          <w:tcPr>
            <w:tcW w:type="dxa" w:w="1728"/>
            <w:shd w:fill="1E3A5F"/>
          </w:tcPr>
          <w:p>
            <w:r>
              <w:rPr>
                <w:rFonts w:ascii="Calibri" w:hAnsi="Calibri"/>
                <w:b/>
                <w:color w:val="FFFFFF"/>
                <w:sz w:val="20"/>
              </w:rPr>
              <w:t>Integration</w:t>
            </w:r>
          </w:p>
        </w:tc>
        <w:tc>
          <w:tcPr>
            <w:tcW w:type="dxa" w:w="1728"/>
            <w:shd w:fill="1E3A5F"/>
          </w:tcPr>
          <w:p>
            <w:r>
              <w:rPr>
                <w:rFonts w:ascii="Calibri" w:hAnsi="Calibri"/>
                <w:b/>
                <w:color w:val="FFFFFF"/>
                <w:sz w:val="20"/>
              </w:rPr>
              <w:t>Content Type</w:t>
            </w:r>
          </w:p>
        </w:tc>
        <w:tc>
          <w:tcPr>
            <w:tcW w:type="dxa" w:w="1728"/>
            <w:shd w:fill="1E3A5F"/>
          </w:tcPr>
          <w:p>
            <w:r>
              <w:rPr>
                <w:rFonts w:ascii="Calibri" w:hAnsi="Calibri"/>
                <w:b/>
                <w:color w:val="FFFFFF"/>
                <w:sz w:val="20"/>
              </w:rPr>
              <w:t>Fields Extracted</w:t>
            </w:r>
          </w:p>
        </w:tc>
      </w:tr>
      <w:tr>
        <w:tc>
          <w:tcPr>
            <w:tcW w:type="dxa" w:w="1728"/>
          </w:tcPr>
          <w:p>
            <w:r>
              <w:rPr>
                <w:rFonts w:ascii="Calibri" w:hAnsi="Calibri"/>
                <w:sz w:val="18"/>
              </w:rPr>
              <w:t>PubMed</w:t>
            </w:r>
          </w:p>
        </w:tc>
        <w:tc>
          <w:tcPr>
            <w:tcW w:type="dxa" w:w="1728"/>
          </w:tcPr>
          <w:p>
            <w:r>
              <w:rPr>
                <w:rFonts w:ascii="Calibri" w:hAnsi="Calibri"/>
                <w:sz w:val="18"/>
              </w:rPr>
              <w:t>Blue</w:t>
            </w:r>
          </w:p>
        </w:tc>
        <w:tc>
          <w:tcPr>
            <w:tcW w:type="dxa" w:w="1728"/>
          </w:tcPr>
          <w:p>
            <w:r>
              <w:rPr>
                <w:rFonts w:ascii="Calibri" w:hAnsi="Calibri"/>
                <w:sz w:val="18"/>
              </w:rPr>
              <w:t>NCBI E-utilities API</w:t>
            </w:r>
          </w:p>
        </w:tc>
        <w:tc>
          <w:tcPr>
            <w:tcW w:type="dxa" w:w="1728"/>
          </w:tcPr>
          <w:p>
            <w:r>
              <w:rPr>
                <w:rFonts w:ascii="Calibri" w:hAnsi="Calibri"/>
                <w:sz w:val="18"/>
              </w:rPr>
              <w:t>Peer-reviewed biomedical literature</w:t>
            </w:r>
          </w:p>
        </w:tc>
        <w:tc>
          <w:tcPr>
            <w:tcW w:type="dxa" w:w="1728"/>
          </w:tcPr>
          <w:p>
            <w:r>
              <w:rPr>
                <w:rFonts w:ascii="Calibri" w:hAnsi="Calibri"/>
                <w:sz w:val="18"/>
              </w:rPr>
              <w:t>PMID, title, abstract, MeSH terms, publication date, authors, journal</w:t>
            </w:r>
          </w:p>
        </w:tc>
      </w:tr>
      <w:tr>
        <w:tc>
          <w:tcPr>
            <w:tcW w:type="dxa" w:w="1728"/>
            <w:shd w:fill="F0F4FA"/>
          </w:tcPr>
          <w:p>
            <w:r>
              <w:rPr>
                <w:rFonts w:ascii="Calibri" w:hAnsi="Calibri"/>
                <w:sz w:val="18"/>
              </w:rPr>
              <w:t>ClinicalTrials.gov</w:t>
            </w:r>
          </w:p>
        </w:tc>
        <w:tc>
          <w:tcPr>
            <w:tcW w:type="dxa" w:w="1728"/>
            <w:shd w:fill="F0F4FA"/>
          </w:tcPr>
          <w:p>
            <w:r>
              <w:rPr>
                <w:rFonts w:ascii="Calibri" w:hAnsi="Calibri"/>
                <w:sz w:val="18"/>
              </w:rPr>
              <w:t>Green</w:t>
            </w:r>
          </w:p>
        </w:tc>
        <w:tc>
          <w:tcPr>
            <w:tcW w:type="dxa" w:w="1728"/>
            <w:shd w:fill="F0F4FA"/>
          </w:tcPr>
          <w:p>
            <w:r>
              <w:rPr>
                <w:rFonts w:ascii="Calibri" w:hAnsi="Calibri"/>
                <w:sz w:val="18"/>
              </w:rPr>
              <w:t>CT.gov v2 API</w:t>
            </w:r>
          </w:p>
        </w:tc>
        <w:tc>
          <w:tcPr>
            <w:tcW w:type="dxa" w:w="1728"/>
            <w:shd w:fill="F0F4FA"/>
          </w:tcPr>
          <w:p>
            <w:r>
              <w:rPr>
                <w:rFonts w:ascii="Calibri" w:hAnsi="Calibri"/>
                <w:sz w:val="18"/>
              </w:rPr>
              <w:t>Registered clinical trials</w:t>
            </w:r>
          </w:p>
        </w:tc>
        <w:tc>
          <w:tcPr>
            <w:tcW w:type="dxa" w:w="1728"/>
            <w:shd w:fill="F0F4FA"/>
          </w:tcPr>
          <w:p>
            <w:r>
              <w:rPr>
                <w:rFonts w:ascii="Calibri" w:hAnsi="Calibri"/>
                <w:sz w:val="18"/>
              </w:rPr>
              <w:t>NCT ID, status, conditions, interventions, outcome measures, enrollment</w:t>
            </w:r>
          </w:p>
        </w:tc>
      </w:tr>
      <w:tr>
        <w:tc>
          <w:tcPr>
            <w:tcW w:type="dxa" w:w="1728"/>
          </w:tcPr>
          <w:p>
            <w:r>
              <w:rPr>
                <w:rFonts w:ascii="Calibri" w:hAnsi="Calibri"/>
                <w:sz w:val="18"/>
              </w:rPr>
              <w:t>OpenAlex</w:t>
            </w:r>
          </w:p>
        </w:tc>
        <w:tc>
          <w:tcPr>
            <w:tcW w:type="dxa" w:w="1728"/>
          </w:tcPr>
          <w:p>
            <w:r>
              <w:rPr>
                <w:rFonts w:ascii="Calibri" w:hAnsi="Calibri"/>
                <w:sz w:val="18"/>
              </w:rPr>
              <w:t>Orange</w:t>
            </w:r>
          </w:p>
        </w:tc>
        <w:tc>
          <w:tcPr>
            <w:tcW w:type="dxa" w:w="1728"/>
          </w:tcPr>
          <w:p>
            <w:r>
              <w:rPr>
                <w:rFonts w:ascii="Calibri" w:hAnsi="Calibri"/>
                <w:sz w:val="18"/>
              </w:rPr>
              <w:t>OpenAlex REST API</w:t>
            </w:r>
          </w:p>
        </w:tc>
        <w:tc>
          <w:tcPr>
            <w:tcW w:type="dxa" w:w="1728"/>
          </w:tcPr>
          <w:p>
            <w:r>
              <w:rPr>
                <w:rFonts w:ascii="Calibri" w:hAnsi="Calibri"/>
                <w:sz w:val="18"/>
              </w:rPr>
              <w:t>Open-access scholarly works</w:t>
            </w:r>
          </w:p>
        </w:tc>
        <w:tc>
          <w:tcPr>
            <w:tcW w:type="dxa" w:w="1728"/>
          </w:tcPr>
          <w:p>
            <w:r>
              <w:rPr>
                <w:rFonts w:ascii="Calibri" w:hAnsi="Calibri"/>
                <w:sz w:val="18"/>
              </w:rPr>
              <w:t>DOI, title, abstract, cited-by count, concepts, host venue</w:t>
            </w:r>
          </w:p>
        </w:tc>
      </w:tr>
      <w:tr>
        <w:tc>
          <w:tcPr>
            <w:tcW w:type="dxa" w:w="1728"/>
            <w:shd w:fill="F0F4FA"/>
          </w:tcPr>
          <w:p>
            <w:r>
              <w:rPr>
                <w:rFonts w:ascii="Calibri" w:hAnsi="Calibri"/>
                <w:sz w:val="18"/>
              </w:rPr>
              <w:t>Semantic Scholar</w:t>
            </w:r>
          </w:p>
        </w:tc>
        <w:tc>
          <w:tcPr>
            <w:tcW w:type="dxa" w:w="1728"/>
            <w:shd w:fill="F0F4FA"/>
          </w:tcPr>
          <w:p>
            <w:r>
              <w:rPr>
                <w:rFonts w:ascii="Calibri" w:hAnsi="Calibri"/>
                <w:sz w:val="18"/>
              </w:rPr>
              <w:t>Purple</w:t>
            </w:r>
          </w:p>
        </w:tc>
        <w:tc>
          <w:tcPr>
            <w:tcW w:type="dxa" w:w="1728"/>
            <w:shd w:fill="F0F4FA"/>
          </w:tcPr>
          <w:p>
            <w:r>
              <w:rPr>
                <w:rFonts w:ascii="Calibri" w:hAnsi="Calibri"/>
                <w:sz w:val="18"/>
              </w:rPr>
              <w:t>S2 Academic Graph API</w:t>
            </w:r>
          </w:p>
        </w:tc>
        <w:tc>
          <w:tcPr>
            <w:tcW w:type="dxa" w:w="1728"/>
            <w:shd w:fill="F0F4FA"/>
          </w:tcPr>
          <w:p>
            <w:r>
              <w:rPr>
                <w:rFonts w:ascii="Calibri" w:hAnsi="Calibri"/>
                <w:sz w:val="18"/>
              </w:rPr>
              <w:t>Academic papers with citation graphs</w:t>
            </w:r>
          </w:p>
        </w:tc>
        <w:tc>
          <w:tcPr>
            <w:tcW w:type="dxa" w:w="1728"/>
            <w:shd w:fill="F0F4FA"/>
          </w:tcPr>
          <w:p>
            <w:r>
              <w:rPr>
                <w:rFonts w:ascii="Calibri" w:hAnsi="Calibri"/>
                <w:sz w:val="18"/>
              </w:rPr>
              <w:t>S2 Paper ID, title, abstract, citation count, influential citations, TLDR</w:t>
            </w:r>
          </w:p>
        </w:tc>
      </w:tr>
      <w:tr>
        <w:tc>
          <w:tcPr>
            <w:tcW w:type="dxa" w:w="1728"/>
          </w:tcPr>
          <w:p>
            <w:r>
              <w:rPr>
                <w:rFonts w:ascii="Calibri" w:hAnsi="Calibri"/>
                <w:sz w:val="18"/>
              </w:rPr>
              <w:t>BioGPT</w:t>
            </w:r>
          </w:p>
        </w:tc>
        <w:tc>
          <w:tcPr>
            <w:tcW w:type="dxa" w:w="1728"/>
          </w:tcPr>
          <w:p>
            <w:r>
              <w:rPr>
                <w:rFonts w:ascii="Calibri" w:hAnsi="Calibri"/>
                <w:sz w:val="18"/>
              </w:rPr>
              <w:t>Pink</w:t>
            </w:r>
          </w:p>
        </w:tc>
        <w:tc>
          <w:tcPr>
            <w:tcW w:type="dxa" w:w="1728"/>
          </w:tcPr>
          <w:p>
            <w:r>
              <w:rPr>
                <w:rFonts w:ascii="Calibri" w:hAnsi="Calibri"/>
                <w:sz w:val="18"/>
              </w:rPr>
              <w:t>Local model inference</w:t>
            </w:r>
          </w:p>
        </w:tc>
        <w:tc>
          <w:tcPr>
            <w:tcW w:type="dxa" w:w="1728"/>
          </w:tcPr>
          <w:p>
            <w:r>
              <w:rPr>
                <w:rFonts w:ascii="Calibri" w:hAnsi="Calibri"/>
                <w:sz w:val="18"/>
              </w:rPr>
              <w:t>AI-generated biomedical summaries</w:t>
            </w:r>
          </w:p>
        </w:tc>
        <w:tc>
          <w:tcPr>
            <w:tcW w:type="dxa" w:w="1728"/>
          </w:tcPr>
          <w:p>
            <w:r>
              <w:rPr>
                <w:rFonts w:ascii="Calibri" w:hAnsi="Calibri"/>
                <w:sz w:val="18"/>
              </w:rPr>
              <w:t>Generated text, confidence score, source references, mechanism explanations</w:t>
            </w:r>
          </w:p>
        </w:tc>
      </w:tr>
    </w:tbl>
    <w:p/>
    <w:p>
      <w:pPr>
        <w:pStyle w:val="Heading1"/>
      </w:pPr>
      <w:r>
        <w:rPr>
          <w:rFonts w:ascii="Calibri" w:hAnsi="Calibri"/>
          <w:color w:val="1E3A5F"/>
        </w:rPr>
        <w:t>7. Collaboration Features</w:t>
      </w:r>
    </w:p>
    <w:p>
      <w:pPr>
        <w:pStyle w:val="Heading2"/>
      </w:pPr>
      <w:r>
        <w:rPr>
          <w:rFonts w:ascii="Calibri" w:hAnsi="Calibri"/>
          <w:color w:val="1E3A5F"/>
        </w:rPr>
        <w:t>7.1 Reviewer Assignment</w:t>
      </w:r>
    </w:p>
    <w:p>
      <w:r>
        <w:rPr>
          <w:rFonts w:ascii="Calibri" w:hAnsi="Calibri"/>
          <w:b w:val="0"/>
          <w:i w:val="0"/>
          <w:sz w:val="22"/>
        </w:rPr>
        <w:t>Admins and lead biostatisticians assign reviewers to specific evidence records or entire projects. Reviewers receive email notifications and see assignments in their review queue.</w:t>
      </w:r>
    </w:p>
    <w:p>
      <w:pPr>
        <w:pStyle w:val="Heading2"/>
      </w:pPr>
      <w:r>
        <w:rPr>
          <w:rFonts w:ascii="Calibri" w:hAnsi="Calibri"/>
          <w:color w:val="1E3A5F"/>
        </w:rPr>
        <w:t>7.2 Commenting</w:t>
      </w:r>
    </w:p>
    <w:p>
      <w:r>
        <w:rPr>
          <w:rFonts w:ascii="Calibri" w:hAnsi="Calibri"/>
          <w:b w:val="0"/>
          <w:i w:val="0"/>
          <w:sz w:val="22"/>
        </w:rPr>
        <w:t>Threaded comments attach to individual evidence records. Comments support @mentions (notifying the mentioned user), markdown formatting, and file attachments.</w:t>
      </w:r>
    </w:p>
    <w:p>
      <w:pPr>
        <w:pStyle w:val="Heading2"/>
      </w:pPr>
      <w:r>
        <w:rPr>
          <w:rFonts w:ascii="Calibri" w:hAnsi="Calibri"/>
          <w:color w:val="1E3A5F"/>
        </w:rPr>
        <w:t>7.3 Conflict Resolution</w:t>
      </w:r>
    </w:p>
    <w:p>
      <w:r>
        <w:rPr>
          <w:rFonts w:ascii="Calibri" w:hAnsi="Calibri"/>
          <w:b w:val="0"/>
          <w:i w:val="0"/>
          <w:sz w:val="22"/>
        </w:rPr>
        <w:t>When two reviewers disagree on an evidence decision (include vs. exclude), the system flags the conflict. A senior reviewer or the lead biostatistician resolves the conflict by selecting the final decision and providing a resolution rationale.</w:t>
      </w:r>
    </w:p>
    <w:p>
      <w:pPr>
        <w:pStyle w:val="Heading2"/>
      </w:pPr>
      <w:r>
        <w:rPr>
          <w:rFonts w:ascii="Calibri" w:hAnsi="Calibri"/>
          <w:color w:val="1E3A5F"/>
        </w:rPr>
        <w:t>7.4 E-Signatures</w:t>
      </w:r>
    </w:p>
    <w:p>
      <w:r>
        <w:rPr>
          <w:rFonts w:ascii="Calibri" w:hAnsi="Calibri"/>
          <w:b w:val="0"/>
          <w:i w:val="0"/>
          <w:sz w:val="22"/>
        </w:rPr>
        <w:t>Evidence decisions and regulatory document approvals require cryptographic e-signatures (21 CFR Part 11 compliant). The signature records: user identity, timestamp, meaning of signature (e.g., 'I approve this evidence for inclusion'), and a SHA-256 hash of the signed content.</w:t>
      </w:r>
    </w:p>
    <w:p>
      <w:pPr>
        <w:pStyle w:val="Heading1"/>
      </w:pPr>
      <w:r>
        <w:rPr>
          <w:rFonts w:ascii="Calibri" w:hAnsi="Calibri"/>
          <w:color w:val="1E3A5F"/>
        </w:rPr>
        <w:t>8. Administration</w:t>
      </w:r>
    </w:p>
    <w:p>
      <w:pPr>
        <w:pStyle w:val="Heading2"/>
      </w:pPr>
      <w:r>
        <w:rPr>
          <w:rFonts w:ascii="Calibri" w:hAnsi="Calibri"/>
          <w:color w:val="1E3A5F"/>
        </w:rPr>
        <w:t>8.1 User Management</w:t>
      </w:r>
    </w:p>
    <w:p>
      <w:r>
        <w:rPr>
          <w:rFonts w:ascii="Calibri" w:hAnsi="Calibri"/>
          <w:b w:val="0"/>
          <w:i w:val="0"/>
          <w:sz w:val="22"/>
        </w:rPr>
        <w:t>Admins invite users via email, assign roles (admin, biostatistician, reviewer, viewer), and can deactivate or reactivate accounts. Deactivated users cannot log in but their audit history is preserved.</w:t>
      </w:r>
    </w:p>
    <w:p>
      <w:pPr>
        <w:pStyle w:val="Heading2"/>
      </w:pPr>
      <w:r>
        <w:rPr>
          <w:rFonts w:ascii="Calibri" w:hAnsi="Calibri"/>
          <w:color w:val="1E3A5F"/>
        </w:rPr>
        <w:t>8.2 Organization Setup</w:t>
      </w:r>
    </w:p>
    <w:p>
      <w:r>
        <w:rPr>
          <w:rFonts w:ascii="Calibri" w:hAnsi="Calibri"/>
          <w:b w:val="0"/>
          <w:i w:val="0"/>
          <w:sz w:val="22"/>
        </w:rPr>
        <w:t>Each deployment is scoped to a single organization. The organization record stores: name, regulatory jurisdiction (FDA, EMA, PMDA, TGA), default therapeutic areas, and branding configuration.</w:t>
      </w:r>
    </w:p>
    <w:p>
      <w:pPr>
        <w:pStyle w:val="Heading2"/>
      </w:pPr>
      <w:r>
        <w:rPr>
          <w:rFonts w:ascii="Calibri" w:hAnsi="Calibri"/>
          <w:color w:val="1E3A5F"/>
        </w:rPr>
        <w:t>8.3 System Health</w:t>
      </w:r>
    </w:p>
    <w:p>
      <w:r>
        <w:rPr>
          <w:rFonts w:ascii="Calibri" w:hAnsi="Calibri"/>
          <w:b w:val="0"/>
          <w:i w:val="0"/>
          <w:sz w:val="22"/>
        </w:rPr>
        <w:t>The system health dashboard shows: API uptime, database connection pool status, Redis cache hit rate, background task queue depth, storage utilization, and error rates aggregated by endpoint category.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