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72"/>
        </w:rPr>
        <w:t>AFARENSIS</w:t>
      </w:r>
    </w:p>
    <w:p>
      <w:pPr>
        <w:jc w:val="center"/>
      </w:pPr>
      <w:r>
        <w:rPr>
          <w:rFonts w:ascii="Calibri" w:hAnsi="Calibri"/>
          <w:color w:val="2563EB"/>
          <w:sz w:val="40"/>
        </w:rPr>
        <w:t>Objective-Based System Decomposition</w:t>
      </w:r>
    </w:p>
    <w:p>
      <w:pPr>
        <w:jc w:val="center"/>
      </w:pPr>
      <w:r>
        <w:rPr>
          <w:rFonts w:ascii="Calibri" w:hAnsi="Calibri"/>
          <w:i/>
          <w:color w:val="6B7280"/>
          <w:sz w:val="28"/>
        </w:rPr>
        <w:t>Emergent Flows Architecture</w:t>
      </w:r>
    </w:p>
    <w:p/>
    <w:p/>
    <w:p>
      <w:pPr>
        <w:jc w:val="center"/>
      </w:pPr>
      <w:r>
        <w:rPr>
          <w:rFonts w:ascii="Calibri" w:hAnsi="Calibri"/>
          <w:color w:val="1F2A36"/>
          <w:sz w:val="22"/>
        </w:rPr>
        <w:t>Synthetic Ascension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Version 2.1  |  March 2026  |  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Document Title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Afarensis Objective-Based System Decomposition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2.1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Classification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Confidential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Author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Synthetic Ascension Systems Architecture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2026-03-23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Status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Production Release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Applicable Standard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ICH E9(R1), 21 CFR Part 11, CDISC ADaM/SDTM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This document defines every feature, capability, and experience of the Afarensis platform strictly from first principles. Flows are not declared; they emerge naturally from objectives, features, dependencies, and constraints.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Core Decomposition Principle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2"/>
        </w:rPr>
        <w:t>Every part of the system is defined as:</w:t>
      </w:r>
    </w:p>
    <w:p>
      <w:pPr>
        <w:spacing w:after="120"/>
      </w:pPr>
      <w:r>
        <w:rPr>
          <w:rFonts w:ascii="Calibri" w:hAnsi="Calibri"/>
          <w:b/>
          <w:i w:val="0"/>
          <w:color w:val="2563EB"/>
          <w:sz w:val="22"/>
        </w:rPr>
        <w:t>Objective → Feature → Mechanism → Inputs → Outputs → Constraints → Failure Modes → Observability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Flows are NOT defined directly. They are inferred artifacts of the system's structure. A reader should be able to derive all possible system flows, identify bottlenecks, detect circular dependencies, and understand execution order purely from this document.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Section 1: System Objective Map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Each objective represents a real, independently meaningful unit of work. Objectives are falsifiable: either the system fulfills them or it does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Criticality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Protocol Ingestion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Accept a clinical study protocol (PDF/DOCX/text), parse it into structured fields (indication, population, endpoints, co...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External Evidence Discovery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Query PubMed, ClinicalTrials.gov, and Semantic Scholar APIs using structured search terms derived from the parsed protoc...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Evidence Comparability Scoring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For each evidence record, compute a multi-dimensional comparability score (population similarity, endpoint alignment, co...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Bias Detection and Quantification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Identify and quantify five bias types (selection, confounding, measurement, temporal, publication) for each evidence-com...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Causal Inference Estimation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Execute causal inference methods (Cox PH, IPTW, propensity scoring, Kaplan-Meier) on study data to produce treatment eff...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Missing Data Handling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Implement multiple imputation (MICE), MMRM, and tipping-point analyses to assess the impact of missing data on primary a...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Multiplicity Adjustment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Apply family-wise error rate control (Bonferroni, Holm, Hochberg, Benjamini-Hochberg) across multiple hypothesis tests w...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Supporting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Bayesian Inference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Perform Bayesian analysis with prior elicitation, MCMC posterior sampling, and credible interval computation for regulat...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Supporting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Interim Analysis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Calculate group-sequential boundaries (O'Brien-Fleming, Pocock, Lan-DeMets), evaluate conditional power at interim looks...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Supporting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CDISC ADaM Dataset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 CDISC ADaM-compliant analysis datasets (ADSL, ADAE, ADTTE, ADLB) from study data, with variable-level metadata,...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CDISC SDTM Dataset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 CDISC SDTM-compliant tabulation datasets (DM, AE, LB, VS, EX, DS) and annotated CRFs from raw study data.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Tables, Figures, and Listings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Produce publication-quality TFLs: demographics tables, adverse event summaries, Kaplan-Meier curves, forest plots, and c...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Statistical Analysis Plan Authoring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 a formal SAP document following ICH E9(R1) structure with estimand framework, multiplicity strategy, missing da...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Clinical Study Report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Produce ICH E3-compliant CSR sections: Synopsis, Section 11 (efficacy), Section 12 (safety), Appendix 16 (statistical me...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Analysis Data Reviewer Guide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 a PhUSE-compliant ADRG documenting the computational environment, dataset structure, programs, and variable def...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Define-XML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Produce CDISC Define-XML 2.1 metadata documents describing all ADaM datasets, variables, origins, and codelists.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eCTD Module 5 Packaging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Assemble all analysis outputs into FDA eCTD Module 5 directory structure with Study Tagging Files, document checksums, a...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Collaborative Evidence Review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Enable multi-reviewer workflows with assignment, commenting, real-time presence, conflict resolution, and cryptographic 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Audit Trail and Regulatory Traceability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Record every system action (creation, modification, deletion, decision, generation) with user attribution, timestamp, IP...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Multi-Tenant Organization Isolation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Ensure complete data isolation between organizations: users, projects, evidence, and artifacts are scoped to the owning 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Identity and Access Management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Authenticate users via JWT with refresh token rotation, enforce role-based access control (Admin/Reviewer/Analyst/Viewer...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Submission Readiness Assessment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Compute a regulatory readiness score across all project dimensions (protocol lock, evidence sufficiency, bias assessment...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Supporting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Reproducibility Verification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Track computational environment (software versions, package manifests, random seeds) and enable independent reconstructi...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Critical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System Observability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Provide request-level metrics (latency percentiles, error rates, throughput), Sentry error tracking, background task mon...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Supporting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Section 2: Feature Decomposition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Each feature is decomposed into: Objective Alignment, Mechanism, Inputs, Outputs, User Interaction Surface, Constraints, Failure Modes, and Observability.</w:t>
      </w:r>
    </w:p>
    <w:p>
      <w:pPr>
        <w:pStyle w:val="Heading2"/>
      </w:pPr>
      <w:r>
        <w:rPr>
          <w:rFonts w:ascii="Calibri" w:hAnsi="Calibri"/>
          <w:color w:val="1E3A5F"/>
        </w:rPr>
        <w:t>OBJ-05: Causal Inference Estimation</w:t>
      </w:r>
    </w:p>
    <w:p>
      <w:pPr>
        <w:pStyle w:val="Heading3"/>
      </w:pPr>
      <w:r>
        <w:rPr>
          <w:rFonts w:ascii="Calibri" w:hAnsi="Calibri"/>
          <w:color w:val="1E3A5F"/>
        </w:rPr>
        <w:t>Feature 5.1: Cox Proportional Hazards Model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Objective Alignment: </w:t>
      </w:r>
    </w:p>
    <w:p>
      <w:pPr>
        <w:pStyle w:val="ListBullet"/>
      </w:pPr>
      <w:r>
        <w:rPr>
          <w:rFonts w:ascii="Calibri" w:hAnsi="Calibri"/>
        </w:rPr>
        <w:t>Supports OBJ-05 (Critical). Primary analysis method for time-to-event endpoints.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Mechanism (step-by-step):</w:t>
      </w:r>
    </w:p>
    <w:p>
      <w:pPr>
        <w:pStyle w:val="ListBullet"/>
      </w:pPr>
      <w:r>
        <w:rPr>
          <w:rFonts w:ascii="Calibri" w:hAnsi="Calibri"/>
        </w:rPr>
        <w:t>1. Receive input arrays: time_to_event (float[]), event_indicator (bool[]), treatment (binary[]), covariates (float[][]).</w:t>
      </w:r>
    </w:p>
    <w:p>
      <w:pPr>
        <w:pStyle w:val="ListBullet"/>
      </w:pPr>
      <w:r>
        <w:rPr>
          <w:rFonts w:ascii="Calibri" w:hAnsi="Calibri"/>
        </w:rPr>
        <w:t>2. Construct partial likelihood function L(β) = ∏ [exp(βᵀx_i) / ∑_{j∈R(t_i)} exp(βᵀx_j)] for each event time t_i.</w:t>
      </w:r>
    </w:p>
    <w:p>
      <w:pPr>
        <w:pStyle w:val="ListBullet"/>
      </w:pPr>
      <w:r>
        <w:rPr>
          <w:rFonts w:ascii="Calibri" w:hAnsi="Calibri"/>
        </w:rPr>
        <w:t>3. Compute gradient (score function) and Hessian (observed information matrix) analytically.</w:t>
      </w:r>
    </w:p>
    <w:p>
      <w:pPr>
        <w:pStyle w:val="ListBullet"/>
      </w:pPr>
      <w:r>
        <w:rPr>
          <w:rFonts w:ascii="Calibri" w:hAnsi="Calibri"/>
        </w:rPr>
        <w:t>4. Iterate Newton-Raphson: β_{k+1} = β_k - H⁻¹(β_k) · U(β_k) until ||Δβ|| &lt; 1e-8 or max 100 iterations.</w:t>
      </w:r>
    </w:p>
    <w:p>
      <w:pPr>
        <w:pStyle w:val="ListBullet"/>
      </w:pPr>
      <w:r>
        <w:rPr>
          <w:rFonts w:ascii="Calibri" w:hAnsi="Calibri"/>
        </w:rPr>
        <w:t>5. Extract hazard ratios: HR = exp(β), 95% CI from Wald: exp(β ± 1.96 · SE(β)).</w:t>
      </w:r>
    </w:p>
    <w:p>
      <w:pPr>
        <w:pStyle w:val="ListBullet"/>
      </w:pPr>
      <w:r>
        <w:rPr>
          <w:rFonts w:ascii="Calibri" w:hAnsi="Calibri"/>
        </w:rPr>
        <w:t>6. Compute concordance index (Harrell’s C) by comparing predicted risk rankings to observed event order.</w:t>
      </w:r>
    </w:p>
    <w:p>
      <w:pPr>
        <w:pStyle w:val="ListBullet"/>
      </w:pPr>
      <w:r>
        <w:rPr>
          <w:rFonts w:ascii="Calibri" w:hAnsi="Calibri"/>
        </w:rPr>
        <w:t>7. Evaluate proportional hazards assumption via Schoenfeld residual correlation with time.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Inputs: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time_to_event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float[]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ADaM ADTTE.AVAL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&gt; 0, no NaN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event_indicator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int[] (0/1)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ADaM ADTTE.CNSR (inverted)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Binary only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treatment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int[] (0/1)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ADaM ADSL.TRT01P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Binary only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covariates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float[][]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ADaM ADSL (AGE, SEX, etc.)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constant columns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Outputs: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Downstream Consumer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coefficients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dict {var: beta}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Forest plot (OBJ-12)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hazard_ratios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dict {var: HR}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CSR Section 11 (OBJ-14)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confidence_intervals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dict {var: (lo, hi)}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Forest plot, SAP (OBJ-13)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p_values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dict {var: float}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Multiplicity adjustment (OBJ-07)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concordance_index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float (0-1)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Model diagnostics, ADRG (OBJ-15)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schoenfeld_p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PH assumption check, audit (OBJ-19)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Constraints: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Statistical: </w:t>
      </w:r>
      <w:r>
        <w:rPr>
          <w:rFonts w:ascii="Calibri" w:hAnsi="Calibri"/>
        </w:rPr>
        <w:t xml:space="preserve">Statistical: </w:t>
      </w:r>
    </w:p>
    <w:p>
      <w:pPr>
        <w:pStyle w:val="ListBullet"/>
      </w:pPr>
      <w:r>
        <w:rPr>
          <w:rFonts w:ascii="Calibri" w:hAnsi="Calibri"/>
        </w:rPr>
        <w:t>Requires ≥10 events per covariate (rule of thumb) for stable estimation.</w:t>
      </w:r>
    </w:p>
    <w:p>
      <w:pPr>
        <w:pStyle w:val="ListBullet"/>
      </w:pPr>
      <w:r>
        <w:rPr>
          <w:rFonts w:ascii="Calibri" w:hAnsi="Calibri"/>
        </w:rPr>
        <w:t>Proportional hazards assumption must hold (Schoenfeld p &gt; 0.05).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Data: </w:t>
      </w:r>
      <w:r>
        <w:rPr>
          <w:rFonts w:ascii="Calibri" w:hAnsi="Calibri"/>
        </w:rPr>
        <w:t xml:space="preserve">Data availability: </w:t>
      </w:r>
    </w:p>
    <w:p>
      <w:pPr>
        <w:pStyle w:val="ListBullet"/>
      </w:pPr>
      <w:r>
        <w:rPr>
          <w:rFonts w:ascii="Calibri" w:hAnsi="Calibri"/>
        </w:rPr>
        <w:t>Requires complete time-to-event and censoring data; missing values handled by OBJ-06.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Failure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Newton-Raphson non-convergence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Surfaced (error)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HR estimate produced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Fall back to Firth correction or report failure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Singular Hessian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Surfaced (warning)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SE/CI unavailable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Profile likelihood CI or bootstrap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Zero events in one arm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Surfaced (error)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HR undefined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Report descriptive statistics only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PH assumption violated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Surfaced (warning)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HR interpretation invalid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Switch to time-varying or restricted mean survival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Observability:</w:t>
      </w:r>
    </w:p>
    <w:p>
      <w:pPr>
        <w:pStyle w:val="ListBullet"/>
      </w:pPr>
      <w:r>
        <w:rPr>
          <w:rFonts w:ascii="Calibri" w:hAnsi="Calibri"/>
        </w:rPr>
        <w:t>Logged: convergence iterations, final log-likelihood, concordance, PH test result.</w:t>
      </w:r>
    </w:p>
    <w:p>
      <w:pPr>
        <w:pStyle w:val="ListBullet"/>
      </w:pPr>
      <w:r>
        <w:rPr>
          <w:rFonts w:ascii="Calibri" w:hAnsi="Calibri"/>
        </w:rPr>
        <w:t>Audit: full coefficient vector, input data hash (SHA-256), software version, random seed.</w:t>
      </w:r>
    </w:p>
    <w:p>
      <w:pPr>
        <w:pStyle w:val="ListBullet"/>
      </w:pPr>
      <w:r>
        <w:rPr>
          <w:rFonts w:ascii="Calibri" w:hAnsi="Calibri"/>
        </w:rPr>
        <w:t>Reconstructible: any reviewer can re-execute with stored inputs + parameters.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E3A5F"/>
        </w:rPr>
        <w:t>OBJ-10: CDISC ADaM Dataset Generation</w:t>
      </w:r>
    </w:p>
    <w:p>
      <w:pPr>
        <w:pStyle w:val="Heading3"/>
      </w:pPr>
      <w:r>
        <w:rPr>
          <w:rFonts w:ascii="Calibri" w:hAnsi="Calibri"/>
          <w:color w:val="1E3A5F"/>
        </w:rPr>
        <w:t>Feature 10.1: ADSL (Subject-Level Analysis Dataset)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Mechanism:</w:t>
      </w:r>
    </w:p>
    <w:p>
      <w:pPr>
        <w:pStyle w:val="ListBullet"/>
      </w:pPr>
      <w:r>
        <w:rPr>
          <w:rFonts w:ascii="Calibri" w:hAnsi="Calibri"/>
        </w:rPr>
        <w:t>1. Query project cohort criteria and study definition from processing_config.</w:t>
      </w:r>
    </w:p>
    <w:p>
      <w:pPr>
        <w:pStyle w:val="ListBullet"/>
      </w:pPr>
      <w:r>
        <w:rPr>
          <w:rFonts w:ascii="Calibri" w:hAnsi="Calibri"/>
        </w:rPr>
        <w:t>2. Generate subject-level records with CDISC-required variables (STUDYID, USUBJID, SUBJID, SITEID, ARM, TRT01P, TRT01A).</w:t>
      </w:r>
    </w:p>
    <w:p>
      <w:pPr>
        <w:pStyle w:val="ListBullet"/>
      </w:pPr>
      <w:r>
        <w:rPr>
          <w:rFonts w:ascii="Calibri" w:hAnsi="Calibri"/>
        </w:rPr>
        <w:t>3. Derive population flags (ITTFL, SAFFL, COMPLFL) from inclusion/exclusion criteria.</w:t>
      </w:r>
    </w:p>
    <w:p>
      <w:pPr>
        <w:pStyle w:val="ListBullet"/>
      </w:pPr>
      <w:r>
        <w:rPr>
          <w:rFonts w:ascii="Calibri" w:hAnsi="Calibri"/>
        </w:rPr>
        <w:t>4. Compute derived variables (AGE, AGEGR1, TRTDUR, DTHFL) from raw demographics + dates.</w:t>
      </w:r>
    </w:p>
    <w:p>
      <w:pPr>
        <w:pStyle w:val="ListBullet"/>
      </w:pPr>
      <w:r>
        <w:rPr>
          <w:rFonts w:ascii="Calibri" w:hAnsi="Calibri"/>
        </w:rPr>
        <w:t>5. Validate all variables against ADaM IG: name ≤8 chars, label ≤40 chars, required variables present.</w:t>
      </w:r>
    </w:p>
    <w:p>
      <w:pPr>
        <w:pStyle w:val="ListBullet"/>
      </w:pPr>
      <w:r>
        <w:rPr>
          <w:rFonts w:ascii="Calibri" w:hAnsi="Calibri"/>
        </w:rPr>
        <w:t>6. Store dataset + variable metadata in adam_datasets table.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Outputs: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Consumer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ADSL dataset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JSON (rows + variable specs)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TFL generation (OBJ-12), Cox PH (OBJ-05)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Variable metadata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JSON (name, label, type, origin, codelist)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Define-XML (OBJ-16)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Validation report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JSON (pass/fail per rule)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ADRG (OBJ-15), audit (OBJ-19)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Section 3: Dependency Graph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This directed graph defines what each objective depends on and what depends on it. From this graph, all possible system flows can be derived.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Upstream Dependencies</w:t>
            </w:r>
          </w:p>
        </w:tc>
        <w:tc>
          <w:tcPr>
            <w:tcW w:type="dxa" w:w="234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Downstream Consumers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Protocol Ingestion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None (entry point)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OBJ-02, OBJ-03, OBJ-10, OBJ-11, OBJ-13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Evidence Discovery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OBJ-03, OBJ-04, OBJ-18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Comparability Scoring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OBJ-01, OBJ-02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OBJ-04, OBJ-05, OBJ-18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Bias Detection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OBJ-06, OBJ-22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Causal Inference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OBJ-04, 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OBJ-07, OBJ-12, OBJ-14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Missing Data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 (cycle: sensitivity), OBJ-14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Multiplicity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OBJ-12, OBJ-13, OBJ-14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Bayesian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OBJ-14, OBJ-09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Interim Analysis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OBJ-08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ADaM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OBJ-11, OBJ-12, OBJ-16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SDTM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OBJ-01, 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OBJ-16, OBJ-17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TFL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OBJ-07, 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OBJ-14, OBJ-17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SAP Authoring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OBJ-01, OBJ-07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OBJ-14, OBJ-17, OBJ-22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CSR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OBJ-05, OBJ-07, OBJ-12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OBJ-15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ADRG Generation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OBJ-10, OBJ-23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Define-XML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OBJ-10, OBJ-11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OBJ-17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eCTD Packaging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OBJ-14, OBJ-15, OBJ-16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OBJ-22 (terminal)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Collaborative Review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OBJ-02, OBJ-03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OBJ-19, OBJ-22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OBJ-19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Audit Trail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 objectives (passive)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OBJ-22, OBJ-23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Tenant Isolation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OBJ-21 (identity)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 data access paths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IAM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None (entry point)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OBJ-20, all authenticated endpoints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Readiness Assessment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OBJ-04, OBJ-13, OBJ-17, OBJ-18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None (terminal)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Reproducibility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OBJ-19, OBJ-10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Observability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None (passive)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None (operational)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2563EB"/>
          <w:sz w:val="20"/>
        </w:rPr>
        <w:t>Critical Path: OBJ-01 → OBJ-02 → OBJ-03 → OBJ-04 → OBJ-05 → OBJ-07 → OBJ-12 → OBJ-14 → OBJ-17</w:t>
      </w:r>
    </w:p>
    <w:p>
      <w:pPr>
        <w:spacing w:after="120"/>
      </w:pPr>
      <w:r>
        <w:rPr>
          <w:rFonts w:ascii="Calibri" w:hAnsi="Calibri"/>
          <w:b/>
          <w:i w:val="0"/>
          <w:color w:val="2563EB"/>
          <w:sz w:val="20"/>
        </w:rPr>
        <w:t>Parallel Path: OBJ-01 → OBJ-10 → OBJ-16 → OBJ-17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Cycle: OBJ-05 ↔ OBJ-06 (sensitivity analyses feed back into primary analysis)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Section 4: Emergent Experience Surfaces</w:t>
      </w:r>
    </w:p>
    <w:p>
      <w:pPr>
        <w:spacing w:after="120"/>
      </w:pPr>
      <w:r>
        <w:rPr>
          <w:rFonts w:ascii="Calibri" w:hAnsi="Calibri"/>
          <w:b w:val="0"/>
          <w:i/>
          <w:color w:val="6B7280"/>
          <w:sz w:val="20"/>
        </w:rPr>
        <w:t>These interaction patterns are NOT prescribed flows. They emerge from the dependency graph.</w:t>
      </w:r>
    </w:p>
    <w:p>
      <w:pPr>
        <w:pStyle w:val="Heading3"/>
      </w:pPr>
      <w:r>
        <w:rPr>
          <w:rFonts w:ascii="Calibri" w:hAnsi="Calibri"/>
          <w:color w:val="1E3A5F"/>
        </w:rPr>
        <w:t>Surface: Study Architect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Biostatistician defines protocol, covariates, cohort criteria, and analysis spec.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Decision points: 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0"/>
        </w:rPr>
        <w:t>Protocol text upload, covariate selection, endpoint definition, estimand specification.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Emergence: </w:t>
      </w:r>
    </w:p>
    <w:p>
      <w:pPr>
        <w:spacing w:after="120"/>
      </w:pPr>
      <w:r>
        <w:rPr>
          <w:rFonts w:ascii="Calibri" w:hAnsi="Calibri"/>
          <w:b w:val="0"/>
          <w:i w:val="0"/>
          <w:color w:val="2563EB"/>
          <w:sz w:val="20"/>
        </w:rPr>
        <w:t>OBJ-01 → processing_config populated → downstream objectives unblocked.</w:t>
      </w:r>
    </w:p>
    <w:p>
      <w:pPr>
        <w:pStyle w:val="Heading3"/>
      </w:pPr>
      <w:r>
        <w:rPr>
          <w:rFonts w:ascii="Calibri" w:hAnsi="Calibri"/>
          <w:color w:val="1E3A5F"/>
        </w:rPr>
        <w:t>Surface: Evidence Curator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Analyst discovers, scores, and critiques external evidence.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Decision points: 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0"/>
        </w:rPr>
        <w:t>Search query refinement, comparability threshold selection, evidence acceptance/rejection.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Emergence: </w:t>
      </w:r>
    </w:p>
    <w:p>
      <w:pPr>
        <w:spacing w:after="120"/>
      </w:pPr>
      <w:r>
        <w:rPr>
          <w:rFonts w:ascii="Calibri" w:hAnsi="Calibri"/>
          <w:b w:val="0"/>
          <w:i w:val="0"/>
          <w:color w:val="2563EB"/>
          <w:sz w:val="20"/>
        </w:rPr>
        <w:t>OBJ-02 → OBJ-03 → OBJ-04 chain. Human decides which evidence to include.</w:t>
      </w:r>
    </w:p>
    <w:p>
      <w:pPr>
        <w:pStyle w:val="Heading3"/>
      </w:pPr>
      <w:r>
        <w:rPr>
          <w:rFonts w:ascii="Calibri" w:hAnsi="Calibri"/>
          <w:color w:val="1E3A5F"/>
        </w:rPr>
        <w:t>Surface: Statistical Analyst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Analyst configures and runs statistical models, reviews diagnostics.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Decision points: 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0"/>
        </w:rPr>
        <w:t>Model selection, covariate set, sensitivity parameters, missing data strategy.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Emergence: </w:t>
      </w:r>
    </w:p>
    <w:p>
      <w:pPr>
        <w:spacing w:after="120"/>
      </w:pPr>
      <w:r>
        <w:rPr>
          <w:rFonts w:ascii="Calibri" w:hAnsi="Calibri"/>
          <w:b w:val="0"/>
          <w:i w:val="0"/>
          <w:color w:val="2563EB"/>
          <w:sz w:val="20"/>
        </w:rPr>
        <w:t>OBJ-05/06/07/08/09 constellation. Human selects methods, system computes.</w:t>
      </w:r>
    </w:p>
    <w:p>
      <w:pPr>
        <w:pStyle w:val="Heading3"/>
      </w:pPr>
      <w:r>
        <w:rPr>
          <w:rFonts w:ascii="Calibri" w:hAnsi="Calibri"/>
          <w:color w:val="1E3A5F"/>
        </w:rPr>
        <w:t>Surface: Regulatory Reviewer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Reviewer evaluates evidence quality, submits e-signed decisions.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Decision points: 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0"/>
        </w:rPr>
        <w:t>Accept/reject/defer decision, confidence level, written rationale.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Emergence: </w:t>
      </w:r>
    </w:p>
    <w:p>
      <w:pPr>
        <w:spacing w:after="120"/>
      </w:pPr>
      <w:r>
        <w:rPr>
          <w:rFonts w:ascii="Calibri" w:hAnsi="Calibri"/>
          <w:b w:val="0"/>
          <w:i w:val="0"/>
          <w:color w:val="2563EB"/>
          <w:sz w:val="20"/>
        </w:rPr>
        <w:t>OBJ-18 → OBJ-19. Human-in-the-loop is unavoidable for regulatory decisions.</w:t>
      </w:r>
    </w:p>
    <w:p>
      <w:pPr>
        <w:pStyle w:val="Heading3"/>
      </w:pPr>
      <w:r>
        <w:rPr>
          <w:rFonts w:ascii="Calibri" w:hAnsi="Calibri"/>
          <w:color w:val="1E3A5F"/>
        </w:rPr>
        <w:t>Surface: Document Assembler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Analyst generates TFLs, CSR sections, and packages for submission.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Decision points: 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0"/>
        </w:rPr>
        <w:t>TFL selection, CSR section ordering, eCTD structure confirmation.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Emergence: </w:t>
      </w:r>
    </w:p>
    <w:p>
      <w:pPr>
        <w:spacing w:after="120"/>
      </w:pPr>
      <w:r>
        <w:rPr>
          <w:rFonts w:ascii="Calibri" w:hAnsi="Calibri"/>
          <w:b w:val="0"/>
          <w:i w:val="0"/>
          <w:color w:val="2563EB"/>
          <w:sz w:val="20"/>
        </w:rPr>
        <w:t>OBJ-12 → OBJ-14 → OBJ-17. Mostly automated, human reviews output.</w:t>
      </w:r>
    </w:p>
    <w:p>
      <w:pPr>
        <w:pStyle w:val="Heading3"/>
      </w:pPr>
      <w:r>
        <w:rPr>
          <w:rFonts w:ascii="Calibri" w:hAnsi="Calibri"/>
          <w:color w:val="1E3A5F"/>
        </w:rPr>
        <w:t>Surface: Auditor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0"/>
        </w:rPr>
        <w:t>Regulator or QA traces any output back to its inputs and transformations.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Decision points: 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0"/>
        </w:rPr>
        <w:t>Audit log filtering, artifact download, reproducibility verification.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 xml:space="preserve">Emergence: </w:t>
      </w:r>
    </w:p>
    <w:p>
      <w:pPr>
        <w:spacing w:after="120"/>
      </w:pPr>
      <w:r>
        <w:rPr>
          <w:rFonts w:ascii="Calibri" w:hAnsi="Calibri"/>
          <w:b w:val="0"/>
          <w:i w:val="0"/>
          <w:color w:val="2563EB"/>
          <w:sz w:val="20"/>
        </w:rPr>
        <w:t>OBJ-19 → OBJ-23. Read-only, no human decisions required.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Section 5: System Stress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Stress Condition</w:t>
            </w:r>
          </w:p>
        </w:tc>
        <w:tc>
          <w:tcPr>
            <w:tcW w:type="dxa" w:w="187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87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System Behavior</w:t>
            </w:r>
          </w:p>
        </w:tc>
        <w:tc>
          <w:tcPr>
            <w:tcW w:type="dxa" w:w="187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User Impact</w:t>
            </w:r>
          </w:p>
        </w:tc>
        <w:tc>
          <w:tcPr>
            <w:tcW w:type="dxa" w:w="1872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Downstream Effect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Missing protocol text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OBJ-01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Parser returns empty specification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User prompted to upload document or enter manually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OBJ-02, OBJ-10 blocked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Zero PubMed results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evidence records created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System reports no matches; user can widen search terms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OBJ-03 has nothing to score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 evidence scores &lt; 0.3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OBJ-03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viable comparators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Warning surfaced; regulatory readiness drops to 0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 proceeds but with caveats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Cox model non-convergence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OBJ-05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HR estimate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Error logged, fallback to descriptive statistics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OBJ-07, OBJ-12 receive null estimates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100% missing data in a covariate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OBJ-06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Imputation impossible for that variable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Variable excluded from model; audit log records decision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Reduced covariate set in OBJ-05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 p-values &gt; 0.05 after multiplicity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significant findings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Results reported as-is; no artificial significance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CSR reports non-significance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PubMed API rate limit exceeded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OBJ-02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429 response from NCBI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Exponential backoff with retry (3 attempts)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Task remains in RUNNING state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S3 storage unavailable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OBJ-17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Artifact not persisted to cloud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Local copy preserved; warning logged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Download still works from local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Reviewer conflict (split decision)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OBJ-18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consensus on evidence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Escalation to senior reviewer; conflict resolution UI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Decision remains PENDING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Database connection pool exhausted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OBJ-24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New requests queued/rejected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Pool pre-ping detects; health endpoint reports degraded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Rate limiting kicks 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Addendum A: Operational Readiness Model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For the system to function end-to-end, the following conditions must be true: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Readiness Condition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Infrastructure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PostgreSQL database accessible, Alembic migrations applied, SECRET_KEY configured (non-default)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Authentication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At least one ADMIN user exists, JWT signing key is unique per environment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Organization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At least one Organization record exists, users are assigned to 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Protocol Input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At least one Project created with research_intent populated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Evidence Pipeline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PubMed/ClinicalTrials API accessible OR uploaded documents provided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Statistical Engine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NumPy, SciPy, statsmodels importable; simulation data available for empty projects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Document Engine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python-docx importable; artifact directory writable; storage backend (local or S3) configured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Audit System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Audit logging enabled (ENABLE_AUDIT_LOG=true), 7-year retention policy active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Observability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Health endpoint responsive (/api/v1/health), metrics middleware active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Addendum B: Reconstruction Model</w:t>
      </w:r>
    </w:p>
    <w:p>
      <w:pPr>
        <w:spacing w:after="120"/>
      </w:pPr>
      <w:r>
        <w:rPr>
          <w:rFonts w:ascii="Calibri" w:hAnsi="Calibri"/>
          <w:b/>
          <w:i w:val="0"/>
          <w:color w:val="1F2A36"/>
          <w:sz w:val="20"/>
        </w:rPr>
        <w:t>A regulator or auditor can reconstruct any output through the following chain:</w:t>
      </w:r>
    </w:p>
    <w:p>
      <w:pPr>
        <w:pStyle w:val="Heading3"/>
      </w:pPr>
      <w:r>
        <w:rPr>
          <w:rFonts w:ascii="Calibri" w:hAnsi="Calibri"/>
          <w:color w:val="1E3A5F"/>
        </w:rPr>
        <w:t>Output Reconstruction</w:t>
      </w:r>
    </w:p>
    <w:p>
      <w:pPr>
        <w:pStyle w:val="ListBullet"/>
      </w:pPr>
      <w:r>
        <w:rPr>
          <w:rFonts w:ascii="Calibri" w:hAnsi="Calibri"/>
        </w:rPr>
        <w:t>Every regulatory artifact (CSR, SAR, TFL) stores its generation timestamp, input data hash (SHA-256), software version, and generating user ID.</w:t>
      </w:r>
    </w:p>
    <w:p>
      <w:pPr>
        <w:pStyle w:val="ListBullet"/>
      </w:pPr>
      <w:r>
        <w:rPr>
          <w:rFonts w:ascii="Calibri" w:hAnsi="Calibri"/>
        </w:rPr>
        <w:t>The audit log captures every mutation (create, update, delete) with old_values and new_values JSON fields.</w:t>
      </w:r>
    </w:p>
    <w:p>
      <w:pPr>
        <w:pStyle w:val="ListBullet"/>
      </w:pPr>
      <w:r>
        <w:rPr>
          <w:rFonts w:ascii="Calibri" w:hAnsi="Calibri"/>
        </w:rPr>
        <w:t>Statistical analysis results include: model specification, convergence diagnostics, random seed, full coefficient vector, and input data fingerprint.</w:t>
      </w:r>
    </w:p>
    <w:p>
      <w:pPr>
        <w:pStyle w:val="ListBullet"/>
      </w:pPr>
      <w:r>
        <w:rPr>
          <w:rFonts w:ascii="Calibri" w:hAnsi="Calibri"/>
        </w:rPr>
        <w:t>ADaM/SDTM datasets include variable-level metadata (origin, derivation rule, codelist reference) traceable to Define-XML.</w:t>
      </w:r>
    </w:p>
    <w:p>
      <w:pPr>
        <w:pStyle w:val="ListBullet"/>
      </w:pPr>
      <w:r>
        <w:rPr>
          <w:rFonts w:ascii="Calibri" w:hAnsi="Calibri"/>
        </w:rPr>
        <w:t>The reproducibility manifest records: Python version, package versions (pinned), operating system, and execution timestamp.</w:t>
      </w:r>
    </w:p>
    <w:p>
      <w:pPr>
        <w:pStyle w:val="Heading3"/>
      </w:pPr>
      <w:r>
        <w:rPr>
          <w:rFonts w:ascii="Calibri" w:hAnsi="Calibri"/>
          <w:color w:val="1E3A5F"/>
        </w:rPr>
        <w:t>Decision Tracing</w:t>
      </w:r>
    </w:p>
    <w:p>
      <w:pPr>
        <w:pStyle w:val="ListBullet"/>
      </w:pPr>
      <w:r>
        <w:rPr>
          <w:rFonts w:ascii="Calibri" w:hAnsi="Calibri"/>
        </w:rPr>
        <w:t>Every review decision records: reviewer ID, decision value, confidence level, written rationale, cryptographic signature (SHA-256 of decision + timestamp + user ID), and review duration.</w:t>
      </w:r>
    </w:p>
    <w:p>
      <w:pPr>
        <w:pStyle w:val="ListBullet"/>
      </w:pPr>
      <w:r>
        <w:rPr>
          <w:rFonts w:ascii="Calibri" w:hAnsi="Calibri"/>
        </w:rPr>
        <w:t>Conflict resolution records the original split decisions, the resolution rationale, and the resolving authority.</w:t>
      </w:r>
    </w:p>
    <w:p>
      <w:pPr>
        <w:pStyle w:val="ListBullet"/>
      </w:pPr>
      <w:r>
        <w:rPr>
          <w:rFonts w:ascii="Calibri" w:hAnsi="Calibri"/>
        </w:rPr>
        <w:t>E-signature chain: decision hash → audit log entry → regulatory artifact reference.</w:t>
      </w:r>
    </w:p>
    <w:p>
      <w:pPr>
        <w:pStyle w:val="Heading3"/>
      </w:pPr>
      <w:r>
        <w:rPr>
          <w:rFonts w:ascii="Calibri" w:hAnsi="Calibri"/>
          <w:color w:val="1E3A5F"/>
        </w:rPr>
        <w:t>Transformation Validation</w:t>
      </w:r>
    </w:p>
    <w:p>
      <w:pPr>
        <w:pStyle w:val="ListBullet"/>
      </w:pPr>
      <w:r>
        <w:rPr>
          <w:rFonts w:ascii="Calibri" w:hAnsi="Calibri"/>
        </w:rPr>
        <w:t>Raw input → Parsed specification: diffable (old_values vs new_values in audit log).</w:t>
      </w:r>
    </w:p>
    <w:p>
      <w:pPr>
        <w:pStyle w:val="ListBullet"/>
      </w:pPr>
      <w:r>
        <w:rPr>
          <w:rFonts w:ascii="Calibri" w:hAnsi="Calibri"/>
        </w:rPr>
        <w:t>Evidence search → Results: query string, API response count, and retrieval ranks stored per record.</w:t>
      </w:r>
    </w:p>
    <w:p>
      <w:pPr>
        <w:pStyle w:val="ListBullet"/>
      </w:pPr>
      <w:r>
        <w:rPr>
          <w:rFonts w:ascii="Calibri" w:hAnsi="Calibri"/>
        </w:rPr>
        <w:t>Statistical model → Results: full reproducibility via stored inputs + parameters + random seed.</w:t>
      </w:r>
    </w:p>
    <w:p>
      <w:pPr>
        <w:pStyle w:val="ListBullet"/>
      </w:pPr>
      <w:r>
        <w:rPr>
          <w:rFonts w:ascii="Calibri" w:hAnsi="Calibri"/>
        </w:rPr>
        <w:t>Analysis results → TFL: direct mapping from result dict keys to table cells/figure data points.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System Inventory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System Objectives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24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Database Models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24 (with 5 enums)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API Endpoints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142 RESTful + 1 WebSocket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Service Classes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30+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Statistical Methods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20+ (Cox PH, IPTW, KM, Bayesian, MMRM, meta-analysis, etc.)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Document Types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10+ (CSR, ADRG, eCTD, Define-XML, SAR, SAP, TFL)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CDISC Domains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10 (ADaM: ADSL, ADAE, ADTTE, ADLB; SDTM: DM, AE, LB, VS, EX, DS)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Frontend Pages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32 React/TypeScript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Configuration Options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170+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Test Cases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316 passing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External Integrations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6 (PubMed, ClinicalTrials, Semantic Scholar, Claude, GPT-4, Gemini)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1E3A5F"/>
          <w:sz w:val="22"/>
        </w:rPr>
        <w:t>A blueprint where flows are shadows cast by structure.</w:t>
      </w:r>
    </w:p>
    <w:p>
      <w:pPr>
        <w:jc w:val="center"/>
      </w:pPr>
      <w:r>
        <w:rPr>
          <w:rFonts w:ascii="Calibri" w:hAnsi="Calibri"/>
          <w:color w:val="6B7280"/>
          <w:sz w:val="18"/>
        </w:rPr>
        <w:t>Afarensis Enterprise v2.1 — Synthetic Ascension — Confidential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