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1E3A5F"/>
          <w:sz w:val="56"/>
        </w:rPr>
        <w:t>AFARENSIS ENTERPRISE</w:t>
      </w:r>
    </w:p>
    <w:p>
      <w:pPr>
        <w:jc w:val="center"/>
      </w:pPr>
      <w:r>
        <w:rPr>
          <w:rFonts w:ascii="Calibri" w:hAnsi="Calibri"/>
          <w:color w:val="1E3A5F"/>
          <w:sz w:val="40"/>
        </w:rPr>
        <w:t>End-to-End Tutorial</w:t>
      </w:r>
    </w:p>
    <w:p>
      <w:pPr>
        <w:jc w:val="center"/>
      </w:pPr>
      <w:r>
        <w:rPr>
          <w:rFonts w:ascii="Calibri" w:hAnsi="Calibri"/>
          <w:color w:val="2563EB"/>
          <w:sz w:val="28"/>
        </w:rPr>
        <w:t>From Login to eCTD Submission</w:t>
      </w:r>
    </w:p>
    <w:p/>
    <w:p>
      <w:pPr>
        <w:jc w:val="center"/>
      </w:pPr>
      <w:r>
        <w:rPr>
          <w:rFonts w:ascii="Calibri" w:hAnsi="Calibri"/>
          <w:color w:val="666666"/>
          <w:sz w:val="22"/>
        </w:rPr>
        <w:t>Version v2.1  |  March 23, 2026</w:t>
      </w:r>
    </w:p>
    <w:p>
      <w:pPr>
        <w:jc w:val="center"/>
      </w:pPr>
      <w:r>
        <w:rPr>
          <w:rFonts w:ascii="Calibri" w:hAnsi="Calibri"/>
          <w:color w:val="666666"/>
          <w:sz w:val="22"/>
        </w:rPr>
        <w:t>Synthetic Ascension Pty Ltd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E3A5F"/>
        </w:rPr>
        <w:t>1. Login and First-Time Setup</w:t>
      </w:r>
    </w:p>
    <w:p>
      <w:r>
        <w:rPr>
          <w:rFonts w:ascii="Calibri" w:hAnsi="Calibri"/>
          <w:b w:val="0"/>
          <w:i w:val="0"/>
          <w:sz w:val="22"/>
        </w:rPr>
        <w:t>Step 1: Navigate to your Afarensis instance URL (e.g., https://app.afarensis.io).</w:t>
      </w:r>
    </w:p>
    <w:p>
      <w:r>
        <w:rPr>
          <w:rFonts w:ascii="Calibri" w:hAnsi="Calibri"/>
          <w:b w:val="0"/>
          <w:i w:val="0"/>
          <w:sz w:val="22"/>
        </w:rPr>
        <w:t>Step 2: Enter your email and password. Default accounts are provided for evaluation: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Email</w:t>
            </w:r>
          </w:p>
        </w:tc>
        <w:tc>
          <w:tcPr>
            <w:tcW w:type="dxa" w:w="2880"/>
            <w:shd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880"/>
            <w:shd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Password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admin@afarensis.io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Admin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Admin123!</w:t>
            </w:r>
          </w:p>
        </w:tc>
      </w:tr>
      <w:tr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bio@afarensis.io</w:t>
            </w:r>
          </w:p>
        </w:tc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Biostatistician</w:t>
            </w:r>
          </w:p>
        </w:tc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Bio123!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reviewer@afarensis.io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Reviewer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Review123!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Step 3: On first login, you will see the empty dashboard. The system is ready to create your first project.</w:t>
      </w:r>
    </w:p>
    <w:p>
      <w:pPr>
        <w:pStyle w:val="Heading1"/>
      </w:pPr>
      <w:r>
        <w:rPr>
          <w:rFonts w:ascii="Calibri" w:hAnsi="Calibri"/>
          <w:color w:val="1E3A5F"/>
        </w:rPr>
        <w:t>2. Creating a Project</w:t>
      </w:r>
    </w:p>
    <w:p>
      <w:r>
        <w:rPr>
          <w:rFonts w:ascii="Calibri" w:hAnsi="Calibri"/>
          <w:b w:val="0"/>
          <w:i w:val="0"/>
          <w:sz w:val="22"/>
        </w:rPr>
        <w:t>This tutorial uses a worked example: a comparative effectiveness study of surgical interventions for cystic hygroma in pediatric patients.</w:t>
      </w:r>
    </w:p>
    <w:p>
      <w:r>
        <w:rPr>
          <w:rFonts w:ascii="Calibri" w:hAnsi="Calibri"/>
          <w:b w:val="0"/>
          <w:i w:val="0"/>
          <w:sz w:val="22"/>
        </w:rPr>
        <w:t>Step 1: Click the "+ New Project" button on the dashboard.</w:t>
      </w:r>
    </w:p>
    <w:p>
      <w:r>
        <w:rPr>
          <w:rFonts w:ascii="Calibri" w:hAnsi="Calibri"/>
          <w:b w:val="0"/>
          <w:i w:val="0"/>
          <w:sz w:val="22"/>
        </w:rPr>
        <w:t>Step 2: Fill in the project creation form:</w:t>
      </w:r>
    </w:p>
    <w:p>
      <w:pPr>
        <w:pStyle w:val="ListBullet"/>
      </w:pPr>
      <w:r>
        <w:rPr>
          <w:rFonts w:ascii="Calibri" w:hAnsi="Calibri"/>
          <w:sz w:val="22"/>
        </w:rPr>
        <w:t>Project Title: "Cystic Hygroma Surgical Outcomes"</w:t>
      </w:r>
    </w:p>
    <w:p>
      <w:pPr>
        <w:pStyle w:val="ListBullet"/>
      </w:pPr>
      <w:r>
        <w:rPr>
          <w:rFonts w:ascii="Calibri" w:hAnsi="Calibri"/>
          <w:sz w:val="22"/>
        </w:rPr>
        <w:t>Therapeutic Area: Pediatric Surgery</w:t>
      </w:r>
    </w:p>
    <w:p>
      <w:pPr>
        <w:pStyle w:val="ListBullet"/>
      </w:pPr>
      <w:r>
        <w:rPr>
          <w:rFonts w:ascii="Calibri" w:hAnsi="Calibri"/>
          <w:sz w:val="22"/>
        </w:rPr>
        <w:t>Indication: Cystic Hygroma (ICD-10: D18.1)</w:t>
      </w:r>
    </w:p>
    <w:p>
      <w:pPr>
        <w:pStyle w:val="ListBullet"/>
      </w:pPr>
      <w:r>
        <w:rPr>
          <w:rFonts w:ascii="Calibri" w:hAnsi="Calibri"/>
          <w:sz w:val="22"/>
        </w:rPr>
        <w:t>Description: Comparative effectiveness of excision vs. sclerotherapy for cystic hygroma</w:t>
      </w:r>
    </w:p>
    <w:p>
      <w:r>
        <w:rPr>
          <w:rFonts w:ascii="Calibri" w:hAnsi="Calibri"/>
          <w:b w:val="0"/>
          <w:i w:val="0"/>
          <w:sz w:val="22"/>
        </w:rPr>
        <w:t>Step 3: Click "Create Project". You will be redirected to the project workspace with the 10-step workflow sidebar visible.</w:t>
      </w:r>
    </w:p>
    <w:p>
      <w:pPr>
        <w:pStyle w:val="Heading1"/>
      </w:pPr>
      <w:r>
        <w:rPr>
          <w:rFonts w:ascii="Calibri" w:hAnsi="Calibri"/>
          <w:color w:val="1E3A5F"/>
        </w:rPr>
        <w:t>3. Defining the Study Protocol</w:t>
      </w:r>
    </w:p>
    <w:p>
      <w:r>
        <w:rPr>
          <w:rFonts w:ascii="Calibri" w:hAnsi="Calibri"/>
          <w:b w:val="0"/>
          <w:i w:val="0"/>
          <w:sz w:val="22"/>
        </w:rPr>
        <w:t>Step 1: Click 'Study Definition' in the sidebar (Step 1).</w:t>
      </w:r>
    </w:p>
    <w:p>
      <w:r>
        <w:rPr>
          <w:rFonts w:ascii="Calibri" w:hAnsi="Calibri"/>
          <w:b w:val="0"/>
          <w:i w:val="0"/>
          <w:sz w:val="22"/>
        </w:rPr>
        <w:t>Step 2: Complete the study definition form:</w:t>
      </w:r>
    </w:p>
    <w:p>
      <w:pPr>
        <w:pStyle w:val="ListBullet"/>
      </w:pPr>
      <w:r>
        <w:rPr>
          <w:rFonts w:ascii="Calibri" w:hAnsi="Calibri"/>
          <w:sz w:val="22"/>
        </w:rPr>
        <w:t>Study Design: Retrospective Cohort</w:t>
      </w:r>
    </w:p>
    <w:p>
      <w:pPr>
        <w:pStyle w:val="ListBullet"/>
      </w:pPr>
      <w:r>
        <w:rPr>
          <w:rFonts w:ascii="Calibri" w:hAnsi="Calibri"/>
          <w:sz w:val="22"/>
        </w:rPr>
        <w:t>Primary Endpoint: Time to recurrence (time-to-event)</w:t>
      </w:r>
    </w:p>
    <w:p>
      <w:pPr>
        <w:pStyle w:val="ListBullet"/>
      </w:pPr>
      <w:r>
        <w:rPr>
          <w:rFonts w:ascii="Calibri" w:hAnsi="Calibri"/>
          <w:sz w:val="22"/>
        </w:rPr>
        <w:t>Treatment Arm: Complete surgical excision</w:t>
      </w:r>
    </w:p>
    <w:p>
      <w:pPr>
        <w:pStyle w:val="ListBullet"/>
      </w:pPr>
      <w:r>
        <w:rPr>
          <w:rFonts w:ascii="Calibri" w:hAnsi="Calibri"/>
          <w:sz w:val="22"/>
        </w:rPr>
        <w:t>Comparator Arm: OK-432 sclerotherapy</w:t>
      </w:r>
    </w:p>
    <w:p>
      <w:pPr>
        <w:pStyle w:val="ListBullet"/>
      </w:pPr>
      <w:r>
        <w:rPr>
          <w:rFonts w:ascii="Calibri" w:hAnsi="Calibri"/>
          <w:sz w:val="22"/>
        </w:rPr>
        <w:t>Target Sample Size: 200</w:t>
      </w:r>
    </w:p>
    <w:p>
      <w:pPr>
        <w:pStyle w:val="ListBullet"/>
      </w:pPr>
      <w:r>
        <w:rPr>
          <w:rFonts w:ascii="Calibri" w:hAnsi="Calibri"/>
          <w:sz w:val="22"/>
        </w:rPr>
        <w:t>Alpha Level: 0.05 (two-sided)</w:t>
      </w:r>
    </w:p>
    <w:p>
      <w:r>
        <w:rPr>
          <w:rFonts w:ascii="Calibri" w:hAnsi="Calibri"/>
          <w:b w:val="0"/>
          <w:i w:val="0"/>
          <w:sz w:val="22"/>
        </w:rPr>
        <w:t>Step 3: Define covariates in the Causal Framework tab: age at diagnosis, hygroma stage (I-IV), location (cervical, axillary, mediastinal), prior treatment history, and sex.</w:t>
      </w:r>
    </w:p>
    <w:p>
      <w:r>
        <w:rPr>
          <w:rFonts w:ascii="Calibri" w:hAnsi="Calibri"/>
          <w:b w:val="0"/>
          <w:i w:val="0"/>
          <w:sz w:val="22"/>
        </w:rPr>
        <w:t>Step 4: Click "Lock Protocol" to finalize the study definition. This creates an immutable audit record.</w:t>
      </w:r>
    </w:p>
    <w:p>
      <w:pPr>
        <w:pStyle w:val="Heading1"/>
      </w:pPr>
      <w:r>
        <w:rPr>
          <w:rFonts w:ascii="Calibri" w:hAnsi="Calibri"/>
          <w:color w:val="1E3A5F"/>
        </w:rPr>
        <w:t>4. Running Evidence Discovery</w:t>
      </w:r>
    </w:p>
    <w:p>
      <w:r>
        <w:rPr>
          <w:rFonts w:ascii="Calibri" w:hAnsi="Calibri"/>
          <w:b w:val="0"/>
          <w:i w:val="0"/>
          <w:sz w:val="22"/>
        </w:rPr>
        <w:t>Step 1: Navigate to Step 3 (Data Provenance) and click "Discover Evidence".</w:t>
      </w:r>
    </w:p>
    <w:p>
      <w:r>
        <w:rPr>
          <w:rFonts w:ascii="Calibri" w:hAnsi="Calibri"/>
          <w:b w:val="0"/>
          <w:i w:val="0"/>
          <w:sz w:val="22"/>
        </w:rPr>
        <w:t>Step 2: The system searches five sources simultaneously. Typical results for cystic hygroma: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2160"/>
            <w:shd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Badge</w:t>
            </w:r>
          </w:p>
        </w:tc>
        <w:tc>
          <w:tcPr>
            <w:tcW w:type="dxa" w:w="2160"/>
            <w:shd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Expected Results</w:t>
            </w:r>
          </w:p>
        </w:tc>
        <w:tc>
          <w:tcPr>
            <w:tcW w:type="dxa" w:w="2160"/>
            <w:shd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Key Findings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PubMed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Blue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45-60 articles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Systematic reviews, case series, retrospective studies</w:t>
            </w:r>
          </w:p>
        </w:tc>
      </w:tr>
      <w:tr>
        <w:tc>
          <w:tcPr>
            <w:tcW w:type="dxa" w:w="2160"/>
            <w:shd w:fill="F0F4FA"/>
          </w:tcPr>
          <w:p>
            <w:r>
              <w:rPr>
                <w:rFonts w:ascii="Calibri" w:hAnsi="Calibri"/>
                <w:sz w:val="18"/>
              </w:rPr>
              <w:t>ClinicalTrials.gov</w:t>
            </w:r>
          </w:p>
        </w:tc>
        <w:tc>
          <w:tcPr>
            <w:tcW w:type="dxa" w:w="2160"/>
            <w:shd w:fill="F0F4FA"/>
          </w:tcPr>
          <w:p>
            <w:r>
              <w:rPr>
                <w:rFonts w:ascii="Calibri" w:hAnsi="Calibri"/>
                <w:sz w:val="18"/>
              </w:rPr>
              <w:t>Green</w:t>
            </w:r>
          </w:p>
        </w:tc>
        <w:tc>
          <w:tcPr>
            <w:tcW w:type="dxa" w:w="2160"/>
            <w:shd w:fill="F0F4FA"/>
          </w:tcPr>
          <w:p>
            <w:r>
              <w:rPr>
                <w:rFonts w:ascii="Calibri" w:hAnsi="Calibri"/>
                <w:sz w:val="18"/>
              </w:rPr>
              <w:t>5-10 trials</w:t>
            </w:r>
          </w:p>
        </w:tc>
        <w:tc>
          <w:tcPr>
            <w:tcW w:type="dxa" w:w="2160"/>
            <w:shd w:fill="F0F4FA"/>
          </w:tcPr>
          <w:p>
            <w:r>
              <w:rPr>
                <w:rFonts w:ascii="Calibri" w:hAnsi="Calibri"/>
                <w:sz w:val="18"/>
              </w:rPr>
              <w:t>Active and completed trials for OK-432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OpenAlex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Orange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80-120 works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Broader academic literature including conference papers</w:t>
            </w:r>
          </w:p>
        </w:tc>
      </w:tr>
      <w:tr>
        <w:tc>
          <w:tcPr>
            <w:tcW w:type="dxa" w:w="2160"/>
            <w:shd w:fill="F0F4FA"/>
          </w:tcPr>
          <w:p>
            <w:r>
              <w:rPr>
                <w:rFonts w:ascii="Calibri" w:hAnsi="Calibri"/>
                <w:sz w:val="18"/>
              </w:rPr>
              <w:t>Semantic Scholar</w:t>
            </w:r>
          </w:p>
        </w:tc>
        <w:tc>
          <w:tcPr>
            <w:tcW w:type="dxa" w:w="2160"/>
            <w:shd w:fill="F0F4FA"/>
          </w:tcPr>
          <w:p>
            <w:r>
              <w:rPr>
                <w:rFonts w:ascii="Calibri" w:hAnsi="Calibri"/>
                <w:sz w:val="18"/>
              </w:rPr>
              <w:t>Purple</w:t>
            </w:r>
          </w:p>
        </w:tc>
        <w:tc>
          <w:tcPr>
            <w:tcW w:type="dxa" w:w="2160"/>
            <w:shd w:fill="F0F4FA"/>
          </w:tcPr>
          <w:p>
            <w:r>
              <w:rPr>
                <w:rFonts w:ascii="Calibri" w:hAnsi="Calibri"/>
                <w:sz w:val="18"/>
              </w:rPr>
              <w:t>60-90 papers</w:t>
            </w:r>
          </w:p>
        </w:tc>
        <w:tc>
          <w:tcPr>
            <w:tcW w:type="dxa" w:w="2160"/>
            <w:shd w:fill="F0F4FA"/>
          </w:tcPr>
          <w:p>
            <w:r>
              <w:rPr>
                <w:rFonts w:ascii="Calibri" w:hAnsi="Calibri"/>
                <w:sz w:val="18"/>
              </w:rPr>
              <w:t>Citation-connected papers with influence scores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BioGPT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Pink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5 summaries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AI-synthesized mechanism and outcome summaries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Step 3: Review the deduplicated evidence list. Each record shows: title, source badge, relevance score, and a brief excerpt.</w:t>
      </w:r>
    </w:p>
    <w:p>
      <w:pPr>
        <w:pStyle w:val="Heading1"/>
      </w:pPr>
      <w:r>
        <w:rPr>
          <w:rFonts w:ascii="Calibri" w:hAnsi="Calibri"/>
          <w:color w:val="1E3A5F"/>
        </w:rPr>
        <w:t>5. Reviewing Comparability Scores</w:t>
      </w:r>
    </w:p>
    <w:p>
      <w:r>
        <w:rPr>
          <w:rFonts w:ascii="Calibri" w:hAnsi="Calibri"/>
          <w:b w:val="0"/>
          <w:i w:val="0"/>
          <w:sz w:val="22"/>
        </w:rPr>
        <w:t>Step 1: Navigate to Step 5 (Comparability &amp; Balance) and click "Compute Balance".</w:t>
      </w:r>
    </w:p>
    <w:p>
      <w:r>
        <w:rPr>
          <w:rFonts w:ascii="Calibri" w:hAnsi="Calibri"/>
          <w:b w:val="0"/>
          <w:i w:val="0"/>
          <w:sz w:val="22"/>
        </w:rPr>
        <w:t>Step 2: The system runs propensity score estimation via logistic regression, computes Inverse Probability of Treatment Weights (IPTW), and calculates SMD for each covariate.</w:t>
      </w:r>
    </w:p>
    <w:p>
      <w:r>
        <w:rPr>
          <w:rFonts w:ascii="Calibri" w:hAnsi="Calibri"/>
          <w:b w:val="0"/>
          <w:i w:val="0"/>
          <w:sz w:val="22"/>
        </w:rPr>
        <w:t>Step 3: Interpret the Love plot:</w:t>
      </w:r>
    </w:p>
    <w:p>
      <w:pPr>
        <w:pStyle w:val="ListBullet"/>
      </w:pPr>
      <w:r>
        <w:rPr>
          <w:rFonts w:ascii="Calibri" w:hAnsi="Calibri"/>
          <w:sz w:val="22"/>
        </w:rPr>
        <w:t>Green dots (SMD &lt; 0.10): Covariate is balanced between treatment arms</w:t>
      </w:r>
    </w:p>
    <w:p>
      <w:pPr>
        <w:pStyle w:val="ListBullet"/>
      </w:pPr>
      <w:r>
        <w:rPr>
          <w:rFonts w:ascii="Calibri" w:hAnsi="Calibri"/>
          <w:sz w:val="22"/>
        </w:rPr>
        <w:t>Amber dots (0.10 - 0.25): Borderline imbalance, consider additional adjustment</w:t>
      </w:r>
    </w:p>
    <w:p>
      <w:pPr>
        <w:pStyle w:val="ListBullet"/>
      </w:pPr>
      <w:r>
        <w:rPr>
          <w:rFonts w:ascii="Calibri" w:hAnsi="Calibri"/>
          <w:sz w:val="22"/>
        </w:rPr>
        <w:t>Red dots (SMD &gt; 0.25): Significant imbalance requiring remediation</w:t>
      </w:r>
    </w:p>
    <w:p>
      <w:pPr>
        <w:pStyle w:val="Heading1"/>
      </w:pPr>
      <w:r>
        <w:rPr>
          <w:rFonts w:ascii="Calibri" w:hAnsi="Calibri"/>
          <w:color w:val="1E3A5F"/>
        </w:rPr>
        <w:t>6. Running Statistical Analysis</w:t>
      </w:r>
    </w:p>
    <w:p>
      <w:r>
        <w:rPr>
          <w:rFonts w:ascii="Calibri" w:hAnsi="Calibri"/>
          <w:b w:val="0"/>
          <w:i w:val="0"/>
          <w:sz w:val="22"/>
        </w:rPr>
        <w:t>Step 1: Navigate to Step 7 (Effect Estimation).</w:t>
      </w:r>
    </w:p>
    <w:p>
      <w:r>
        <w:rPr>
          <w:rFonts w:ascii="Calibri" w:hAnsi="Calibri"/>
          <w:b w:val="0"/>
          <w:i w:val="0"/>
          <w:sz w:val="22"/>
        </w:rPr>
        <w:t>Step 2: The system runs the primary analysis (Cox Proportional Hazards model for time-to-recurrence) with IPTW adjustment. Results include:</w:t>
      </w:r>
    </w:p>
    <w:p>
      <w:pPr>
        <w:pStyle w:val="ListBullet"/>
      </w:pPr>
      <w:r>
        <w:rPr>
          <w:rFonts w:ascii="Calibri" w:hAnsi="Calibri"/>
          <w:sz w:val="22"/>
        </w:rPr>
        <w:t>Hazard Ratio with 95% CI</w:t>
      </w:r>
    </w:p>
    <w:p>
      <w:pPr>
        <w:pStyle w:val="ListBullet"/>
      </w:pPr>
      <w:r>
        <w:rPr>
          <w:rFonts w:ascii="Calibri" w:hAnsi="Calibri"/>
          <w:sz w:val="22"/>
        </w:rPr>
        <w:t>Log-rank test p-value</w:t>
      </w:r>
    </w:p>
    <w:p>
      <w:pPr>
        <w:pStyle w:val="ListBullet"/>
      </w:pPr>
      <w:r>
        <w:rPr>
          <w:rFonts w:ascii="Calibri" w:hAnsi="Calibri"/>
          <w:sz w:val="22"/>
        </w:rPr>
        <w:t>Kaplan-Meier survival curves for both arms</w:t>
      </w:r>
    </w:p>
    <w:p>
      <w:r>
        <w:rPr>
          <w:rFonts w:ascii="Calibri" w:hAnsi="Calibri"/>
          <w:b w:val="0"/>
          <w:i w:val="0"/>
          <w:sz w:val="22"/>
        </w:rPr>
        <w:t>Step 3: Expand the "Show Your Work" drawer to review model diagnostics, code, and assumptions. The six tabs provide full transparency for regulatory reviewers.</w:t>
      </w:r>
    </w:p>
    <w:p>
      <w:r>
        <w:rPr>
          <w:rFonts w:ascii="Calibri" w:hAnsi="Calibri"/>
          <w:b w:val="0"/>
          <w:i w:val="0"/>
          <w:sz w:val="22"/>
        </w:rPr>
        <w:t>Step 4: Review sensitivity analyses: propensity score matching, as-treated analysis, and tipping-point analysis for missing data.</w:t>
      </w:r>
    </w:p>
    <w:p>
      <w:pPr>
        <w:pStyle w:val="Heading1"/>
      </w:pPr>
      <w:r>
        <w:rPr>
          <w:rFonts w:ascii="Calibri" w:hAnsi="Calibri"/>
          <w:color w:val="1E3A5F"/>
        </w:rPr>
        <w:t>7. Generating CDISC Datasets</w:t>
      </w:r>
    </w:p>
    <w:p>
      <w:r>
        <w:rPr>
          <w:rFonts w:ascii="Calibri" w:hAnsi="Calibri"/>
          <w:b w:val="0"/>
          <w:i w:val="0"/>
          <w:sz w:val="22"/>
        </w:rPr>
        <w:t>Step 1: Navigate to the CDISC panel and click "Generate ADaM Datasets".</w:t>
      </w:r>
    </w:p>
    <w:p>
      <w:r>
        <w:rPr>
          <w:rFonts w:ascii="Calibri" w:hAnsi="Calibri"/>
          <w:b w:val="0"/>
          <w:i w:val="0"/>
          <w:sz w:val="22"/>
        </w:rPr>
        <w:t>Step 2: The system generates three ADaM datasets: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Dataset</w:t>
            </w:r>
          </w:p>
        </w:tc>
        <w:tc>
          <w:tcPr>
            <w:tcW w:type="dxa" w:w="2880"/>
            <w:shd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Key Variables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ADSL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Subject-Level Analysis Dataset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USUBJID, AGE, SEX, TRTA, SAFFL, ITTFL</w:t>
            </w:r>
          </w:p>
        </w:tc>
      </w:tr>
      <w:tr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ADAE</w:t>
            </w:r>
          </w:p>
        </w:tc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Adverse Events Analysis Dataset</w:t>
            </w:r>
          </w:p>
        </w:tc>
        <w:tc>
          <w:tcPr>
            <w:tcW w:type="dxa" w:w="2880"/>
            <w:shd w:fill="F0F4FA"/>
          </w:tcPr>
          <w:p>
            <w:r>
              <w:rPr>
                <w:rFonts w:ascii="Calibri" w:hAnsi="Calibri"/>
                <w:sz w:val="18"/>
              </w:rPr>
              <w:t>AEDECOD, AEBODSYS, AESER, AEREL, AESTDTC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ADTTE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Time-to-Event Analysis Dataset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PARAMCD, AVAL, CNSR, STARTDT, ADT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Step 3: Click "Validate" to run CDISC conformance checks. Review any findings and resolve before proceeding.</w:t>
      </w:r>
    </w:p>
    <w:p>
      <w:pPr>
        <w:pStyle w:val="Heading1"/>
      </w:pPr>
      <w:r>
        <w:rPr>
          <w:rFonts w:ascii="Calibri" w:hAnsi="Calibri"/>
          <w:color w:val="1E3A5F"/>
        </w:rPr>
        <w:t>8. Creating Tables, Figures, and Listings</w:t>
      </w:r>
    </w:p>
    <w:p>
      <w:r>
        <w:rPr>
          <w:rFonts w:ascii="Calibri" w:hAnsi="Calibri"/>
          <w:b w:val="0"/>
          <w:i w:val="0"/>
          <w:sz w:val="22"/>
        </w:rPr>
        <w:t>Step 1: Navigate to the TFL panel and click "Generate All TFLs".</w:t>
      </w:r>
    </w:p>
    <w:p>
      <w:r>
        <w:rPr>
          <w:rFonts w:ascii="Calibri" w:hAnsi="Calibri"/>
          <w:b w:val="0"/>
          <w:i w:val="0"/>
          <w:sz w:val="22"/>
        </w:rPr>
        <w:t>Step 2: The system generates:</w:t>
      </w:r>
    </w:p>
    <w:p>
      <w:pPr>
        <w:pStyle w:val="ListBullet"/>
      </w:pPr>
      <w:r>
        <w:rPr>
          <w:rFonts w:ascii="Calibri" w:hAnsi="Calibri"/>
          <w:sz w:val="22"/>
        </w:rPr>
        <w:t>Table 14.1.1: Demographics and Baseline Characteristics</w:t>
      </w:r>
    </w:p>
    <w:p>
      <w:pPr>
        <w:pStyle w:val="ListBullet"/>
      </w:pPr>
      <w:r>
        <w:rPr>
          <w:rFonts w:ascii="Calibri" w:hAnsi="Calibri"/>
          <w:sz w:val="22"/>
        </w:rPr>
        <w:t>Table 14.3.1: Adverse Events by System Organ Class</w:t>
      </w:r>
    </w:p>
    <w:p>
      <w:pPr>
        <w:pStyle w:val="ListBullet"/>
      </w:pPr>
      <w:r>
        <w:rPr>
          <w:rFonts w:ascii="Calibri" w:hAnsi="Calibri"/>
          <w:sz w:val="22"/>
        </w:rPr>
        <w:t>Figure 14.1.1: Covariate Balance Love Plot</w:t>
      </w:r>
    </w:p>
    <w:p>
      <w:pPr>
        <w:pStyle w:val="ListBullet"/>
      </w:pPr>
      <w:r>
        <w:rPr>
          <w:rFonts w:ascii="Calibri" w:hAnsi="Calibri"/>
          <w:sz w:val="22"/>
        </w:rPr>
        <w:t>Figure 14.2.1: Kaplan-Meier Survival Curves</w:t>
      </w:r>
    </w:p>
    <w:p>
      <w:pPr>
        <w:pStyle w:val="ListBullet"/>
      </w:pPr>
      <w:r>
        <w:rPr>
          <w:rFonts w:ascii="Calibri" w:hAnsi="Calibri"/>
          <w:sz w:val="22"/>
        </w:rPr>
        <w:t>Figure 14.2.2: Forest Plot of Subgroup Analyses</w:t>
      </w:r>
    </w:p>
    <w:p>
      <w:r>
        <w:rPr>
          <w:rFonts w:ascii="Calibri" w:hAnsi="Calibri"/>
          <w:b w:val="0"/>
          <w:i w:val="0"/>
          <w:sz w:val="22"/>
        </w:rPr>
        <w:t>Step 3: Review each TFL for accuracy and formatting. TFLs are generated in publication-ready format with proper titles, footnotes, and source annotations.</w:t>
      </w:r>
    </w:p>
    <w:p>
      <w:pPr>
        <w:pStyle w:val="Heading1"/>
      </w:pPr>
      <w:r>
        <w:rPr>
          <w:rFonts w:ascii="Calibri" w:hAnsi="Calibri"/>
          <w:color w:val="1E3A5F"/>
        </w:rPr>
        <w:t>9. Generating Regulatory Documents</w:t>
      </w:r>
    </w:p>
    <w:p>
      <w:r>
        <w:rPr>
          <w:rFonts w:ascii="Calibri" w:hAnsi="Calibri"/>
          <w:b w:val="0"/>
          <w:i w:val="0"/>
          <w:sz w:val="22"/>
        </w:rPr>
        <w:t>Step 1: Navigate to Step 10 (Regulatory Output).</w:t>
      </w:r>
    </w:p>
    <w:p>
      <w:r>
        <w:rPr>
          <w:rFonts w:ascii="Calibri" w:hAnsi="Calibri"/>
          <w:b w:val="0"/>
          <w:i w:val="0"/>
          <w:sz w:val="22"/>
        </w:rPr>
        <w:t>Step 2: Generate each document:</w:t>
      </w:r>
    </w:p>
    <w:p>
      <w:pPr>
        <w:pStyle w:val="ListBullet"/>
      </w:pPr>
      <w:r>
        <w:rPr>
          <w:rFonts w:ascii="Calibri" w:hAnsi="Calibri"/>
          <w:sz w:val="22"/>
        </w:rPr>
        <w:t>SAP (Statistical Analysis Plan): Click Generate SAP. Review the auto-populated sections including study objectives, endpoints, analysis populations, and statistical methods.</w:t>
      </w:r>
    </w:p>
    <w:p>
      <w:pPr>
        <w:pStyle w:val="ListBullet"/>
      </w:pPr>
      <w:r>
        <w:rPr>
          <w:rFonts w:ascii="Calibri" w:hAnsi="Calibri"/>
          <w:sz w:val="22"/>
        </w:rPr>
        <w:t>CSR (Clinical Study Report): Click Generate Full CSR. This produces Synopsis, Section 11 (Efficacy), Section 12 (Safety), and Appendix 16.</w:t>
      </w:r>
    </w:p>
    <w:p>
      <w:pPr>
        <w:pStyle w:val="ListBullet"/>
      </w:pPr>
      <w:r>
        <w:rPr>
          <w:rFonts w:ascii="Calibri" w:hAnsi="Calibri"/>
          <w:sz w:val="22"/>
        </w:rPr>
        <w:t>ADRG (Analysis Data Reviewer's Guide): Click Generate ADRG. This documents the computing environment, data flow, and analysis program descriptions.</w:t>
      </w:r>
    </w:p>
    <w:p>
      <w:pPr>
        <w:pStyle w:val="ListBullet"/>
      </w:pPr>
      <w:r>
        <w:rPr>
          <w:rFonts w:ascii="Calibri" w:hAnsi="Calibri"/>
          <w:sz w:val="22"/>
        </w:rPr>
        <w:t>Define-XML: Click Generate Define-XML. This produces the metadata file describing all ADaM variables, codelists, and computational methods.</w:t>
      </w:r>
    </w:p>
    <w:p>
      <w:pPr>
        <w:pStyle w:val="Heading1"/>
      </w:pPr>
      <w:r>
        <w:rPr>
          <w:rFonts w:ascii="Calibri" w:hAnsi="Calibri"/>
          <w:color w:val="1E3A5F"/>
        </w:rPr>
        <w:t>10. Assembling the eCTD Package</w:t>
      </w:r>
    </w:p>
    <w:p>
      <w:r>
        <w:rPr>
          <w:rFonts w:ascii="Calibri" w:hAnsi="Calibri"/>
          <w:b w:val="0"/>
          <w:i w:val="0"/>
          <w:sz w:val="22"/>
        </w:rPr>
        <w:t>Step 1: Click "Generate eCTD Package" in the submission panel.</w:t>
      </w:r>
    </w:p>
    <w:p>
      <w:r>
        <w:rPr>
          <w:rFonts w:ascii="Calibri" w:hAnsi="Calibri"/>
          <w:b w:val="0"/>
          <w:i w:val="0"/>
          <w:sz w:val="22"/>
        </w:rPr>
        <w:t>Step 2: The system assembles Module 5 (Clinical Study Reports) with the proper directory structure:</w:t>
      </w:r>
    </w:p>
    <w:p>
      <w:pPr>
        <w:pStyle w:val="ListBullet"/>
      </w:pPr>
      <w:r>
        <w:rPr>
          <w:rFonts w:ascii="Calibri" w:hAnsi="Calibri"/>
          <w:sz w:val="22"/>
        </w:rPr>
        <w:t>m5/53-clin-stud-rep/535-rep-analys-data-indiv-patient/ : CSR and appendices</w:t>
      </w:r>
    </w:p>
    <w:p>
      <w:pPr>
        <w:pStyle w:val="ListBullet"/>
      </w:pPr>
      <w:r>
        <w:rPr>
          <w:rFonts w:ascii="Calibri" w:hAnsi="Calibri"/>
          <w:sz w:val="22"/>
        </w:rPr>
        <w:t>m5/datasets/ : ADaM and SDTM datasets with Define-XML</w:t>
      </w:r>
    </w:p>
    <w:p>
      <w:pPr>
        <w:pStyle w:val="ListBullet"/>
      </w:pPr>
      <w:r>
        <w:rPr>
          <w:rFonts w:ascii="Calibri" w:hAnsi="Calibri"/>
          <w:sz w:val="22"/>
        </w:rPr>
        <w:t>m5/datasets/analysis/ : ADRG and analysis programs</w:t>
      </w:r>
    </w:p>
    <w:p>
      <w:r>
        <w:rPr>
          <w:rFonts w:ascii="Calibri" w:hAnsi="Calibri"/>
          <w:b w:val="0"/>
          <w:i w:val="0"/>
          <w:sz w:val="22"/>
        </w:rPr>
        <w:t>Step 3: Click "Validate eCTD" to run structural validation. The system checks for required files, naming conventions, and cross-references between documents.</w:t>
      </w:r>
    </w:p>
    <w:p>
      <w:r>
        <w:rPr>
          <w:rFonts w:ascii="Calibri" w:hAnsi="Calibri"/>
          <w:b w:val="0"/>
          <w:i w:val="0"/>
          <w:sz w:val="22"/>
        </w:rPr>
        <w:t>Step 4: Download the validated package as a ZIP file for submission through the appropriate regulatory gateway (FDA ESG, EMA CESP, etc.).</w:t>
      </w:r>
    </w:p>
    <w:p>
      <w:pPr>
        <w:pStyle w:val="Heading1"/>
      </w:pPr>
      <w:r>
        <w:rPr>
          <w:rFonts w:ascii="Calibri" w:hAnsi="Calibri"/>
          <w:color w:val="1E3A5F"/>
        </w:rPr>
        <w:t>11.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Issue</w:t>
            </w:r>
          </w:p>
        </w:tc>
        <w:tc>
          <w:tcPr>
            <w:tcW w:type="dxa" w:w="4320"/>
            <w:shd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Resolution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Evidence discovery returns 0 results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Broaden search terms; check that the indication text matches PubMed MeSH terms</w:t>
            </w:r>
          </w:p>
        </w:tc>
      </w:tr>
      <w:tr>
        <w:tc>
          <w:tcPr>
            <w:tcW w:type="dxa" w:w="4320"/>
            <w:shd w:fill="F0F4FA"/>
          </w:tcPr>
          <w:p>
            <w:r>
              <w:rPr>
                <w:rFonts w:ascii="Calibri" w:hAnsi="Calibri"/>
                <w:sz w:val="18"/>
              </w:rPr>
              <w:t>Propensity score model fails to converge</w:t>
            </w:r>
          </w:p>
        </w:tc>
        <w:tc>
          <w:tcPr>
            <w:tcW w:type="dxa" w:w="4320"/>
            <w:shd w:fill="F0F4FA"/>
          </w:tcPr>
          <w:p>
            <w:r>
              <w:rPr>
                <w:rFonts w:ascii="Calibri" w:hAnsi="Calibri"/>
                <w:sz w:val="18"/>
              </w:rPr>
              <w:t>Reduce the number of covariates; check for perfect separation; increase regularization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SMD exceeds 0.10 after weighting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Add interaction terms to PS model; consider trimming weights &gt; 10; use stabilized weights</w:t>
            </w:r>
          </w:p>
        </w:tc>
      </w:tr>
      <w:tr>
        <w:tc>
          <w:tcPr>
            <w:tcW w:type="dxa" w:w="4320"/>
            <w:shd w:fill="F0F4FA"/>
          </w:tcPr>
          <w:p>
            <w:r>
              <w:rPr>
                <w:rFonts w:ascii="Calibri" w:hAnsi="Calibri"/>
                <w:sz w:val="18"/>
              </w:rPr>
              <w:t>TFL generation times out</w:t>
            </w:r>
          </w:p>
        </w:tc>
        <w:tc>
          <w:tcPr>
            <w:tcW w:type="dxa" w:w="4320"/>
            <w:shd w:fill="F0F4FA"/>
          </w:tcPr>
          <w:p>
            <w:r>
              <w:rPr>
                <w:rFonts w:ascii="Calibri" w:hAnsi="Calibri"/>
                <w:sz w:val="18"/>
              </w:rPr>
              <w:t>Large datasets may need increased timeout; check Redis connection; verify background task worker is running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Define-XML validation errors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Check that all variable labels are &lt;= 40 characters; ensure codelists have unique coded values</w:t>
            </w:r>
          </w:p>
        </w:tc>
      </w:tr>
      <w:tr>
        <w:tc>
          <w:tcPr>
            <w:tcW w:type="dxa" w:w="4320"/>
            <w:shd w:fill="F0F4FA"/>
          </w:tcPr>
          <w:p>
            <w:r>
              <w:rPr>
                <w:rFonts w:ascii="Calibri" w:hAnsi="Calibri"/>
                <w:sz w:val="18"/>
              </w:rPr>
              <w:t>eCTD validation warnings</w:t>
            </w:r>
          </w:p>
        </w:tc>
        <w:tc>
          <w:tcPr>
            <w:tcW w:type="dxa" w:w="4320"/>
            <w:shd w:fill="F0F4FA"/>
          </w:tcPr>
          <w:p>
            <w:r>
              <w:rPr>
                <w:rFonts w:ascii="Calibri" w:hAnsi="Calibri"/>
                <w:sz w:val="18"/>
              </w:rPr>
              <w:t>Missing recommended files (e.g., reviewer's guide); filename length exceeds 64 characters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Login returns 401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Check that the account is active; verify password; try forgot-password flow</w:t>
            </w:r>
          </w:p>
        </w:tc>
      </w:tr>
      <w:tr>
        <w:tc>
          <w:tcPr>
            <w:tcW w:type="dxa" w:w="4320"/>
            <w:shd w:fill="F0F4FA"/>
          </w:tcPr>
          <w:p>
            <w:r>
              <w:rPr>
                <w:rFonts w:ascii="Calibri" w:hAnsi="Calibri"/>
                <w:sz w:val="18"/>
              </w:rPr>
              <w:t>Audit trail shows gaps</w:t>
            </w:r>
          </w:p>
        </w:tc>
        <w:tc>
          <w:tcPr>
            <w:tcW w:type="dxa" w:w="4320"/>
            <w:shd w:fill="F0F4FA"/>
          </w:tcPr>
          <w:p>
            <w:r>
              <w:rPr>
                <w:rFonts w:ascii="Calibri" w:hAnsi="Calibri"/>
                <w:sz w:val="18"/>
              </w:rPr>
              <w:t>Check server timezone configuration; ensure NTP sync is enabled on the server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E3A5F"/>
        </w:rPr>
        <w:t>Appendix A: Keyboard Shortcuts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Shortcut</w:t>
            </w:r>
          </w:p>
        </w:tc>
        <w:tc>
          <w:tcPr>
            <w:tcW w:type="dxa" w:w="4320"/>
            <w:shd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Ctrl + 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Create new project</w:t>
            </w:r>
          </w:p>
        </w:tc>
      </w:tr>
      <w:tr>
        <w:tc>
          <w:tcPr>
            <w:tcW w:type="dxa" w:w="4320"/>
            <w:shd w:fill="F0F4FA"/>
          </w:tcPr>
          <w:p>
            <w:r>
              <w:rPr>
                <w:rFonts w:ascii="Calibri" w:hAnsi="Calibri"/>
                <w:sz w:val="18"/>
              </w:rPr>
              <w:t>Ctrl + S</w:t>
            </w:r>
          </w:p>
        </w:tc>
        <w:tc>
          <w:tcPr>
            <w:tcW w:type="dxa" w:w="4320"/>
            <w:shd w:fill="F0F4FA"/>
          </w:tcPr>
          <w:p>
            <w:r>
              <w:rPr>
                <w:rFonts w:ascii="Calibri" w:hAnsi="Calibri"/>
                <w:sz w:val="18"/>
              </w:rPr>
              <w:t>Save current form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Ctrl + Enter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Run current analysis</w:t>
            </w:r>
          </w:p>
        </w:tc>
      </w:tr>
      <w:tr>
        <w:tc>
          <w:tcPr>
            <w:tcW w:type="dxa" w:w="4320"/>
            <w:shd w:fill="F0F4FA"/>
          </w:tcPr>
          <w:p>
            <w:r>
              <w:rPr>
                <w:rFonts w:ascii="Calibri" w:hAnsi="Calibri"/>
                <w:sz w:val="18"/>
              </w:rPr>
              <w:t>Ctrl + Shift + E</w:t>
            </w:r>
          </w:p>
        </w:tc>
        <w:tc>
          <w:tcPr>
            <w:tcW w:type="dxa" w:w="4320"/>
            <w:shd w:fill="F0F4FA"/>
          </w:tcPr>
          <w:p>
            <w:r>
              <w:rPr>
                <w:rFonts w:ascii="Calibri" w:hAnsi="Calibri"/>
                <w:sz w:val="18"/>
              </w:rPr>
              <w:t>Open evidence discovery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Ctrl + Shift + 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Generate all TFLs</w:t>
            </w:r>
          </w:p>
        </w:tc>
      </w:tr>
      <w:tr>
        <w:tc>
          <w:tcPr>
            <w:tcW w:type="dxa" w:w="4320"/>
            <w:shd w:fill="F0F4FA"/>
          </w:tcPr>
          <w:p>
            <w:r>
              <w:rPr>
                <w:rFonts w:ascii="Calibri" w:hAnsi="Calibri"/>
                <w:sz w:val="18"/>
              </w:rPr>
              <w:t>Ctrl + /</w:t>
            </w:r>
          </w:p>
        </w:tc>
        <w:tc>
          <w:tcPr>
            <w:tcW w:type="dxa" w:w="4320"/>
            <w:shd w:fill="F0F4FA"/>
          </w:tcPr>
          <w:p>
            <w:r>
              <w:rPr>
                <w:rFonts w:ascii="Calibri" w:hAnsi="Calibri"/>
                <w:sz w:val="18"/>
              </w:rPr>
              <w:t>Open command palette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Esc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Close modal or drawer</w:t>
            </w:r>
          </w:p>
        </w:tc>
      </w:tr>
      <w:tr>
        <w:tc>
          <w:tcPr>
            <w:tcW w:type="dxa" w:w="4320"/>
            <w:shd w:fill="F0F4FA"/>
          </w:tcPr>
          <w:p>
            <w:r>
              <w:rPr>
                <w:rFonts w:ascii="Calibri" w:hAnsi="Calibri"/>
                <w:sz w:val="18"/>
              </w:rPr>
              <w:t>Tab / Shift+Tab</w:t>
            </w:r>
          </w:p>
        </w:tc>
        <w:tc>
          <w:tcPr>
            <w:tcW w:type="dxa" w:w="4320"/>
            <w:shd w:fill="F0F4FA"/>
          </w:tcPr>
          <w:p>
            <w:r>
              <w:rPr>
                <w:rFonts w:ascii="Calibri" w:hAnsi="Calibri"/>
                <w:sz w:val="18"/>
              </w:rPr>
              <w:t>Navigate form fields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E3A5F"/>
        </w:rPr>
        <w:t>Appendix B: Account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Account Type</w:t>
            </w:r>
          </w:p>
        </w:tc>
        <w:tc>
          <w:tcPr>
            <w:tcW w:type="dxa" w:w="4320"/>
            <w:shd w:fill="1E3A5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Capabilities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Admin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Full system access including user management, organization settings, and system health monitoring</w:t>
            </w:r>
          </w:p>
        </w:tc>
      </w:tr>
      <w:tr>
        <w:tc>
          <w:tcPr>
            <w:tcW w:type="dxa" w:w="4320"/>
            <w:shd w:fill="F0F4FA"/>
          </w:tcPr>
          <w:p>
            <w:r>
              <w:rPr>
                <w:rFonts w:ascii="Calibri" w:hAnsi="Calibri"/>
                <w:sz w:val="18"/>
              </w:rPr>
              <w:t>Biostatistician</w:t>
            </w:r>
          </w:p>
        </w:tc>
        <w:tc>
          <w:tcPr>
            <w:tcW w:type="dxa" w:w="4320"/>
            <w:shd w:fill="F0F4FA"/>
          </w:tcPr>
          <w:p>
            <w:r>
              <w:rPr>
                <w:rFonts w:ascii="Calibri" w:hAnsi="Calibri"/>
                <w:sz w:val="18"/>
              </w:rPr>
              <w:t>Create and manage projects, run analyses, generate TFLs and regulatory documents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Reviewer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Review and adjudicate evidence, submit e-signed decisions, resolve conflicts</w:t>
            </w:r>
          </w:p>
        </w:tc>
      </w:tr>
      <w:tr>
        <w:tc>
          <w:tcPr>
            <w:tcW w:type="dxa" w:w="4320"/>
            <w:shd w:fill="F0F4FA"/>
          </w:tcPr>
          <w:p>
            <w:r>
              <w:rPr>
                <w:rFonts w:ascii="Calibri" w:hAnsi="Calibri"/>
                <w:sz w:val="18"/>
              </w:rPr>
              <w:t>Viewer</w:t>
            </w:r>
          </w:p>
        </w:tc>
        <w:tc>
          <w:tcPr>
            <w:tcW w:type="dxa" w:w="4320"/>
            <w:shd w:fill="F0F4FA"/>
          </w:tcPr>
          <w:p>
            <w:r>
              <w:rPr>
                <w:rFonts w:ascii="Calibri" w:hAnsi="Calibri"/>
                <w:sz w:val="18"/>
              </w:rPr>
              <w:t>Read-only access to projects and artifacts; cannot modify data or run analyses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