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color w:val="1E3A5F"/>
          <w:sz w:val="72"/>
        </w:rPr>
        <w:t>AFARENSIS</w:t>
      </w:r>
    </w:p>
    <w:p>
      <w:pPr>
        <w:jc w:val="center"/>
      </w:pPr>
      <w:r>
        <w:rPr>
          <w:rFonts w:ascii="Calibri" w:hAnsi="Calibri"/>
          <w:color w:val="2563EB"/>
          <w:sz w:val="40"/>
        </w:rPr>
        <w:t>End-to-End User Tutorial</w:t>
      </w:r>
    </w:p>
    <w:p>
      <w:pPr>
        <w:jc w:val="center"/>
      </w:pPr>
      <w:r>
        <w:rPr>
          <w:rFonts w:ascii="Calibri" w:hAnsi="Calibri"/>
          <w:i/>
          <w:color w:val="6B7280"/>
          <w:sz w:val="26"/>
        </w:rPr>
        <w:t>From Login to FDA Submission Package</w:t>
      </w:r>
    </w:p>
    <w:p/>
    <w:p/>
    <w:p>
      <w:pPr>
        <w:jc w:val="center"/>
      </w:pPr>
      <w:r>
        <w:rPr>
          <w:rFonts w:ascii="Calibri" w:hAnsi="Calibri"/>
          <w:color w:val="6B7280"/>
          <w:sz w:val="20"/>
        </w:rPr>
        <w:t>Version 2.1  |  March 2026  |  Synthetic Ascension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Table of Contents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1. Getting Started: Login and Navigation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2. Creating Your First Project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3. Defining Your Study Protocol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4. Discovering External Evidence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5. Scoring Evidence Comparability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6. Detecting and Quantifying Bias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7. Running Statistical Analyses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8. Handling Missing Data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9. Generating CDISC Datasets (ADaM &amp; SDTM)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10. Creating Tables, Figures, and Listings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11. Authoring the Statistical Analysis Plan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12. Collaborative Evidence Review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13. Generating Clinical Study Report Sections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14. Preparing the Submission Package (eCTD)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15. Monitoring and Administration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Appendix A: Account Types and Permissions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Appendix B: Keyboard Shortcuts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2"/>
        </w:rPr>
        <w:t>Appendix C: Troubleshooting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1. Getting Started: Login and Navigation</w:t>
      </w:r>
    </w:p>
    <w:p>
      <w:pPr>
        <w:pStyle w:val="Heading2"/>
      </w:pPr>
      <w:r>
        <w:rPr>
          <w:rFonts w:ascii="Calibri" w:hAnsi="Calibri"/>
          <w:color w:val="1E3A5F"/>
        </w:rPr>
        <w:t>1.1 Logging In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Open your browser and navigate to your organization's Afarensis URL.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Enter your email address and password.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Sign In.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If this is your first login, you will be prompted to change your temporary password.</w:t>
      </w:r>
    </w:p>
    <w:p>
      <w:r>
        <w:rPr>
          <w:rFonts w:ascii="Calibri" w:hAnsi="Calibri"/>
          <w:b/>
          <w:color w:val="2563EB"/>
          <w:sz w:val="20"/>
        </w:rPr>
        <w:t xml:space="preserve">NOTE: </w:t>
      </w:r>
      <w:r>
        <w:rPr>
          <w:rFonts w:ascii="Calibri" w:hAnsi="Calibri"/>
          <w:color w:val="1F2A36"/>
          <w:sz w:val="20"/>
        </w:rPr>
        <w:t>If you enter the wrong password, you will see a red error banner. There is no lockout; you can retry immediately.</w:t>
      </w:r>
    </w:p>
    <w:p>
      <w:pPr>
        <w:pStyle w:val="Heading2"/>
      </w:pPr>
      <w:r>
        <w:rPr>
          <w:rFonts w:ascii="Calibri" w:hAnsi="Calibri"/>
          <w:color w:val="1E3A5F"/>
        </w:rPr>
        <w:t>1.2 Forgot Password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Forgot password? on the login screen.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Enter your email address and click Send verification code.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Check your email for a 6-digit code. Enter it in the verification field.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Create a new password meeting the strength requirements (8+ characters, uppercase, lowercase, number, special character).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5: </w:t>
      </w:r>
      <w:r>
        <w:rPr>
          <w:rFonts w:ascii="Calibri" w:hAnsi="Calibri"/>
          <w:color w:val="1F2A36"/>
          <w:sz w:val="21"/>
        </w:rPr>
        <w:t>Click Reset password. You will be redirected to the login screen.</w:t>
      </w:r>
    </w:p>
    <w:p>
      <w:pPr>
        <w:spacing w:after="80"/>
      </w:pPr>
      <w:r>
        <w:rPr>
          <w:rFonts w:ascii="Calibri" w:hAnsi="Calibri"/>
          <w:b/>
          <w:color w:val="059669"/>
          <w:sz w:val="20"/>
        </w:rPr>
        <w:t xml:space="preserve">TIP: </w:t>
      </w:r>
      <w:r>
        <w:rPr>
          <w:rFonts w:ascii="Calibri" w:hAnsi="Calibri"/>
          <w:color w:val="1F2A36"/>
          <w:sz w:val="20"/>
        </w:rPr>
        <w:t>After a password reset, all your existing sessions are revoked for security. You will need to log in again on all devices.</w:t>
      </w:r>
    </w:p>
    <w:p>
      <w:pPr>
        <w:pStyle w:val="Heading2"/>
      </w:pPr>
      <w:r>
        <w:rPr>
          <w:rFonts w:ascii="Calibri" w:hAnsi="Calibri"/>
          <w:color w:val="1E3A5F"/>
        </w:rPr>
        <w:t>1.3 The Dashboard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After login, you land on the Dashboard. This is your command center.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Shows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Projects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Your active studies with status badges (Draft, Processing, Review, Completed)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Quick Actions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Create New Project, Generate SAR, Run Analysis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System Health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Database status, API availability, background task queue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3A5F"/>
        </w:rPr>
        <w:t>1.4 The Sidebar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The left sidebar provides navigation through the 10-step regulatory workflow: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Page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Study Definition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Define your protocol, endpoints, and population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Causal Framework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Specify covariates and causal structure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Data Provenance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Configure data sources and validate quality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Cohort Construction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Set inclusion/exclusion criteria and run attrition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Comparability &amp; Balance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Assess covariate balance with Love plots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6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Bias &amp; Sensitivity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Run bias detection, E-value, and sensitivity analyses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7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Effect Estimation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Execute primary analysis (Cox PH, IPTW, etc.)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8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Reproducibility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Track computational environment and verify outputs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Audit Trail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View immutable log of all system actions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10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Regulatory Output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Generate and download submission documents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2. Creating Your First Project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From the Dashboard, click Create New Project.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Enter a project title (e.g., "XY-301: Cetuximab + FOLFIRI in mCRC").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Add a description explaining the study purpose.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Enter the research intent. This drives evidence discovery. Be specific:</w:t>
      </w:r>
    </w:p>
    <w:p>
      <w:pPr>
        <w:spacing w:after="120"/>
      </w:pPr>
      <w:r>
        <w:rPr>
          <w:rFonts w:ascii="Consolas" w:hAnsi="Consolas"/>
          <w:color w:val="1F2937"/>
          <w:sz w:val="18"/>
        </w:rPr>
        <w:t xml:space="preserve">  "Evaluate the efficacy and safety of cetuximab combined with FOLFIRI</w:t>
        <w:br/>
        <w:t xml:space="preserve">   versus FOLFIRI alone in patients with KRAS wild-type metastatic</w:t>
        <w:br/>
        <w:t xml:space="preserve">   colorectal cancer, using overall survival as the primary endpoint."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5: </w:t>
      </w:r>
      <w:r>
        <w:rPr>
          <w:rFonts w:ascii="Calibri" w:hAnsi="Calibri"/>
          <w:color w:val="1F2A36"/>
          <w:sz w:val="21"/>
        </w:rPr>
        <w:t>Click Create. Your project is now in Draft status.</w:t>
      </w:r>
    </w:p>
    <w:p>
      <w:pPr>
        <w:spacing w:after="80"/>
      </w:pPr>
      <w:r>
        <w:rPr>
          <w:rFonts w:ascii="Calibri" w:hAnsi="Calibri"/>
          <w:b/>
          <w:color w:val="059669"/>
          <w:sz w:val="20"/>
        </w:rPr>
        <w:t xml:space="preserve">TIP: </w:t>
      </w:r>
      <w:r>
        <w:rPr>
          <w:rFonts w:ascii="Calibri" w:hAnsi="Calibri"/>
          <w:color w:val="1F2A36"/>
          <w:sz w:val="20"/>
        </w:rPr>
        <w:t>The research intent is the most important field. It determines what evidence the system discovers from PubMed and ClinicalTrials.gov. Write it as you would a research question.</w:t>
      </w:r>
    </w:p>
    <w:p>
      <w:r>
        <w:rPr>
          <w:rFonts w:ascii="Calibri" w:hAnsi="Calibri"/>
          <w:b/>
          <w:color w:val="2563EB"/>
          <w:sz w:val="20"/>
        </w:rPr>
        <w:t xml:space="preserve">NOTE: </w:t>
      </w:r>
      <w:r>
        <w:rPr>
          <w:rFonts w:ascii="Calibri" w:hAnsi="Calibri"/>
          <w:color w:val="1F2A36"/>
          <w:sz w:val="20"/>
        </w:rPr>
        <w:t>Projects are scoped to your organization. Other organizations cannot see your projects.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3. Defining Your Study Protocol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1: Study Definition in the sidebar.</w:t>
      </w:r>
    </w:p>
    <w:p>
      <w:pPr>
        <w:pStyle w:val="Heading2"/>
      </w:pPr>
      <w:r>
        <w:rPr>
          <w:rFonts w:ascii="Calibri" w:hAnsi="Calibri"/>
          <w:color w:val="1E3A5F"/>
        </w:rPr>
        <w:t>3.1 Protocol Specification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Fill in the study design fields:</w:t>
      </w:r>
    </w:p>
    <w:p>
      <w:pPr>
        <w:pStyle w:val="ListBullet"/>
      </w:pPr>
      <w:r>
        <w:rPr>
          <w:rFonts w:ascii="Calibri" w:hAnsi="Calibri"/>
          <w:sz w:val="21"/>
        </w:rPr>
        <w:t>Indication (e.g., metastatic colorectal cancer)</w:t>
      </w:r>
    </w:p>
    <w:p>
      <w:pPr>
        <w:pStyle w:val="ListBullet"/>
      </w:pPr>
      <w:r>
        <w:rPr>
          <w:rFonts w:ascii="Calibri" w:hAnsi="Calibri"/>
          <w:sz w:val="21"/>
        </w:rPr>
        <w:t>Population (e.g., adults with KRAS wild-type mCRC, ECOG 0-1)</w:t>
      </w:r>
    </w:p>
    <w:p>
      <w:pPr>
        <w:pStyle w:val="ListBullet"/>
      </w:pPr>
      <w:r>
        <w:rPr>
          <w:rFonts w:ascii="Calibri" w:hAnsi="Calibri"/>
          <w:sz w:val="21"/>
        </w:rPr>
        <w:t>Intervention (e.g., Cetuximab 400mg/m2 loading + 250mg/m2 weekly + FOLFIRI)</w:t>
      </w:r>
    </w:p>
    <w:p>
      <w:pPr>
        <w:pStyle w:val="ListBullet"/>
      </w:pPr>
      <w:r>
        <w:rPr>
          <w:rFonts w:ascii="Calibri" w:hAnsi="Calibri"/>
          <w:sz w:val="21"/>
        </w:rPr>
        <w:t>Comparator (e.g., FOLFIRI alone)</w:t>
      </w:r>
    </w:p>
    <w:p>
      <w:pPr>
        <w:pStyle w:val="ListBullet"/>
      </w:pPr>
      <w:r>
        <w:rPr>
          <w:rFonts w:ascii="Calibri" w:hAnsi="Calibri"/>
          <w:sz w:val="21"/>
        </w:rPr>
        <w:t>Primary Endpoint (e.g., Overall Survival)</w:t>
      </w:r>
    </w:p>
    <w:p>
      <w:pPr>
        <w:pStyle w:val="ListBullet"/>
      </w:pPr>
      <w:r>
        <w:rPr>
          <w:rFonts w:ascii="Calibri" w:hAnsi="Calibri"/>
          <w:sz w:val="21"/>
        </w:rPr>
        <w:t>Secondary Endpoints (add multiple)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Upload your protocol document (PDF or DOCX) using the Upload button. The system will extract structured fields automatically.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Review the parsed fields and correct any extraction errors.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Click Save to persist your study definition.</w:t>
      </w:r>
    </w:p>
    <w:p>
      <w:pPr>
        <w:pStyle w:val="Heading2"/>
      </w:pPr>
      <w:r>
        <w:rPr>
          <w:rFonts w:ascii="Calibri" w:hAnsi="Calibri"/>
          <w:color w:val="1E3A5F"/>
        </w:rPr>
        <w:t>3.2 Estimand Framework (ICH E9(R1))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Scroll down to the Estimand Framework section.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Define the primary estimand: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Population: </w:t>
      </w:r>
      <w:r>
        <w:rPr>
          <w:rFonts w:ascii="Calibri" w:hAnsi="Calibri"/>
          <w:sz w:val="21"/>
        </w:rPr>
        <w:t xml:space="preserve">Population: 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Variable: </w:t>
      </w:r>
      <w:r>
        <w:rPr>
          <w:rFonts w:ascii="Calibri" w:hAnsi="Calibri"/>
          <w:sz w:val="21"/>
        </w:rPr>
        <w:t xml:space="preserve">Variable: 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ICE Strategy: </w:t>
      </w:r>
      <w:r>
        <w:rPr>
          <w:rFonts w:ascii="Calibri" w:hAnsi="Calibri"/>
          <w:sz w:val="21"/>
        </w:rPr>
        <w:t xml:space="preserve">Intercurrent Event Strategy: </w:t>
      </w:r>
    </w:p>
    <w:p>
      <w:pPr>
        <w:pStyle w:val="ListBullet"/>
      </w:pPr>
      <w:r>
        <w:rPr>
          <w:rFonts w:ascii="Calibri" w:hAnsi="Calibri"/>
          <w:b/>
          <w:sz w:val="21"/>
        </w:rPr>
        <w:t xml:space="preserve">Summary Measure: </w:t>
      </w:r>
      <w:r>
        <w:rPr>
          <w:rFonts w:ascii="Calibri" w:hAnsi="Calibri"/>
          <w:sz w:val="21"/>
        </w:rPr>
        <w:t xml:space="preserve">Summary Measure: 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Add secondary estimands as needed.</w:t>
      </w:r>
    </w:p>
    <w:p>
      <w:pPr>
        <w:pStyle w:val="Heading2"/>
      </w:pPr>
      <w:r>
        <w:rPr>
          <w:rFonts w:ascii="Calibri" w:hAnsi="Calibri"/>
          <w:color w:val="1E3A5F"/>
        </w:rPr>
        <w:t>3.3 Locking the Protocol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When your protocol is finalized: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Lock Protocol. This creates an immutable audit record.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After locking, the study definition becomes read-only. Changes require admin unlock with audit justification.</w:t>
      </w:r>
    </w:p>
    <w:p>
      <w:pPr>
        <w:spacing w:after="80"/>
      </w:pPr>
      <w:r>
        <w:rPr>
          <w:rFonts w:ascii="Calibri" w:hAnsi="Calibri"/>
          <w:b/>
          <w:color w:val="059669"/>
          <w:sz w:val="20"/>
        </w:rPr>
        <w:t xml:space="preserve">TIP: </w:t>
      </w:r>
      <w:r>
        <w:rPr>
          <w:rFonts w:ascii="Calibri" w:hAnsi="Calibri"/>
          <w:color w:val="1F2A36"/>
          <w:sz w:val="20"/>
        </w:rPr>
        <w:t>Lock the protocol before running analyses. This ensures your analysis results are traceable to a frozen specification.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4. Discovering External Evidence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3: Data Provenance or use the Discover Evidence button on the project page.</w:t>
      </w:r>
    </w:p>
    <w:p>
      <w:pPr>
        <w:pStyle w:val="Heading2"/>
      </w:pPr>
      <w:r>
        <w:rPr>
          <w:rFonts w:ascii="Calibri" w:hAnsi="Calibri"/>
          <w:color w:val="1E3A5F"/>
        </w:rPr>
        <w:t>4.1 Automatic Discovery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Discover Evidence. The system searches:</w:t>
      </w:r>
    </w:p>
    <w:p>
      <w:pPr>
        <w:pStyle w:val="ListBullet"/>
      </w:pPr>
      <w:r>
        <w:rPr>
          <w:rFonts w:ascii="Calibri" w:hAnsi="Calibri"/>
          <w:sz w:val="21"/>
        </w:rPr>
        <w:t>PubMed (up to 50 results)</w:t>
      </w:r>
    </w:p>
    <w:p>
      <w:pPr>
        <w:pStyle w:val="ListBullet"/>
      </w:pPr>
      <w:r>
        <w:rPr>
          <w:rFonts w:ascii="Calibri" w:hAnsi="Calibri"/>
          <w:sz w:val="21"/>
        </w:rPr>
        <w:t>ClinicalTrials.gov (up to 50 results)</w:t>
      </w:r>
    </w:p>
    <w:p>
      <w:pPr>
        <w:pStyle w:val="ListBullet"/>
      </w:pPr>
      <w:r>
        <w:rPr>
          <w:rFonts w:ascii="Calibri" w:hAnsi="Calibri"/>
          <w:sz w:val="21"/>
        </w:rPr>
        <w:t>Semantic Scholar (optional)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This runs as a background task. You will see a progress indicator:</w:t>
      </w:r>
    </w:p>
    <w:p>
      <w:pPr>
        <w:pStyle w:val="ListBullet"/>
      </w:pPr>
      <w:r>
        <w:rPr>
          <w:rFonts w:ascii="Calibri" w:hAnsi="Calibri"/>
          <w:sz w:val="21"/>
        </w:rPr>
        <w:t>10% - Searching PubMed...</w:t>
      </w:r>
    </w:p>
    <w:p>
      <w:pPr>
        <w:pStyle w:val="ListBullet"/>
      </w:pPr>
      <w:r>
        <w:rPr>
          <w:rFonts w:ascii="Calibri" w:hAnsi="Calibri"/>
          <w:sz w:val="21"/>
        </w:rPr>
        <w:t>50% - Searching ClinicalTrials.gov...</w:t>
      </w:r>
    </w:p>
    <w:p>
      <w:pPr>
        <w:pStyle w:val="ListBullet"/>
      </w:pPr>
      <w:r>
        <w:rPr>
          <w:rFonts w:ascii="Calibri" w:hAnsi="Calibri"/>
          <w:sz w:val="21"/>
        </w:rPr>
        <w:t>90% - Saving results...</w:t>
      </w:r>
    </w:p>
    <w:p>
      <w:pPr>
        <w:pStyle w:val="ListBullet"/>
      </w:pPr>
      <w:r>
        <w:rPr>
          <w:rFonts w:ascii="Calibri" w:hAnsi="Calibri"/>
          <w:sz w:val="21"/>
        </w:rPr>
        <w:t>100% - Complete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When complete, review the discovered evidence on the Evidence tab.</w:t>
      </w:r>
    </w:p>
    <w:p>
      <w:r>
        <w:rPr>
          <w:rFonts w:ascii="Calibri" w:hAnsi="Calibri"/>
          <w:b/>
          <w:color w:val="2563EB"/>
          <w:sz w:val="20"/>
        </w:rPr>
        <w:t xml:space="preserve">NOTE: </w:t>
      </w:r>
      <w:r>
        <w:rPr>
          <w:rFonts w:ascii="Calibri" w:hAnsi="Calibri"/>
          <w:color w:val="1F2A36"/>
          <w:sz w:val="20"/>
        </w:rPr>
        <w:t>Evidence discovery is asynchronous. You can navigate away and come back; the task continues in the background. Check status via the Tasks indicator in the header.</w:t>
      </w:r>
    </w:p>
    <w:p>
      <w:pPr>
        <w:pStyle w:val="Heading2"/>
      </w:pPr>
      <w:r>
        <w:rPr>
          <w:rFonts w:ascii="Calibri" w:hAnsi="Calibri"/>
          <w:color w:val="1E3A5F"/>
        </w:rPr>
        <w:t>4.2 Manual Upload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Upload Document on the project page.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Select a PDF, DOCX, or TXT file (max 100MB).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The system validates the file type using magic bytes, not just the file extension.</w:t>
      </w:r>
    </w:p>
    <w:p>
      <w:pPr>
        <w:pStyle w:val="Heading2"/>
      </w:pPr>
      <w:r>
        <w:rPr>
          <w:rFonts w:ascii="Calibri" w:hAnsi="Calibri"/>
          <w:color w:val="1E3A5F"/>
        </w:rPr>
        <w:t>4.3 Reviewing Evidence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Each evidence record shows:</w:t>
      </w:r>
    </w:p>
    <w:p>
      <w:pPr>
        <w:pStyle w:val="ListBullet"/>
      </w:pPr>
      <w:r>
        <w:rPr>
          <w:rFonts w:ascii="Calibri" w:hAnsi="Calibri"/>
          <w:sz w:val="21"/>
        </w:rPr>
        <w:t>Title, authors, journal, year</w:t>
      </w:r>
    </w:p>
    <w:p>
      <w:pPr>
        <w:pStyle w:val="ListBullet"/>
      </w:pPr>
      <w:r>
        <w:rPr>
          <w:rFonts w:ascii="Calibri" w:hAnsi="Calibri"/>
          <w:sz w:val="21"/>
        </w:rPr>
        <w:t>Source type (PubMed, ClinicalTrials, uploaded)</w:t>
      </w:r>
    </w:p>
    <w:p>
      <w:pPr>
        <w:pStyle w:val="ListBullet"/>
      </w:pPr>
      <w:r>
        <w:rPr>
          <w:rFonts w:ascii="Calibri" w:hAnsi="Calibri"/>
          <w:sz w:val="21"/>
        </w:rPr>
        <w:t>Abstract preview</w:t>
      </w:r>
    </w:p>
    <w:p>
      <w:pPr>
        <w:pStyle w:val="ListBullet"/>
      </w:pPr>
      <w:r>
        <w:rPr>
          <w:rFonts w:ascii="Calibri" w:hAnsi="Calibri"/>
          <w:sz w:val="21"/>
        </w:rPr>
        <w:t>Extraction confidence score (0-100%)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5. Scoring Evidence Comparability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5: Comparability &amp; Balance.</w:t>
      </w:r>
    </w:p>
    <w:p>
      <w:pPr>
        <w:pStyle w:val="Heading2"/>
      </w:pPr>
      <w:r>
        <w:rPr>
          <w:rFonts w:ascii="Calibri" w:hAnsi="Calibri"/>
          <w:color w:val="1E3A5F"/>
        </w:rPr>
        <w:t>5.1 Comparability Scoring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For each evidence record, the system computes six dimensions: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Measures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Range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Population Similarity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How closely the study population matches your protocol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0-1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Endpoint Alignment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Whether the study measured your primary/secondary endpoints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0-1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Covariate Coverage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How many of your specified covariates are reported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0-1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Temporal Alignment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Whether follow-up periods and timeframes align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0-1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Evidence Quality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Study design quality (RCT &gt; observational &gt; case series)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0-1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Provenance Score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Data source reliability and provenance chain integrity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0-1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Review the overall comparability score (weighted average of all dimensions).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on any evidence row to see dimension-level detail.</w:t>
      </w:r>
    </w:p>
    <w:p>
      <w:pPr>
        <w:pStyle w:val="Heading2"/>
      </w:pPr>
      <w:r>
        <w:rPr>
          <w:rFonts w:ascii="Calibri" w:hAnsi="Calibri"/>
          <w:color w:val="1E3A5F"/>
        </w:rPr>
        <w:t>5.2 Covariate Balance (Love Plot)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Compute Balance to calculate propensity scores and IPTW weights.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The Love Plot shows Standardized Mean Differences (SMD) for each covariate.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Covariates with |SMD| &gt; 0.10 are flagged as imbalanced (red dots).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After weighting, the plot shows before/after balance improvement.</w:t>
      </w:r>
    </w:p>
    <w:p>
      <w:pPr>
        <w:spacing w:after="80"/>
      </w:pPr>
      <w:r>
        <w:rPr>
          <w:rFonts w:ascii="Calibri" w:hAnsi="Calibri"/>
          <w:b/>
          <w:color w:val="059669"/>
          <w:sz w:val="20"/>
        </w:rPr>
        <w:t xml:space="preserve">TIP: </w:t>
      </w:r>
      <w:r>
        <w:rPr>
          <w:rFonts w:ascii="Calibri" w:hAnsi="Calibri"/>
          <w:color w:val="1F2A36"/>
          <w:sz w:val="20"/>
        </w:rPr>
        <w:t>A well-balanced study should have all covariates below the 0.10 SMD threshold after weighting.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6. Detecting and Quantifying Bias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6: Bias &amp; Sensitivity.</w:t>
      </w:r>
    </w:p>
    <w:p>
      <w:pPr>
        <w:pStyle w:val="Heading2"/>
      </w:pPr>
      <w:r>
        <w:rPr>
          <w:rFonts w:ascii="Calibri" w:hAnsi="Calibri"/>
          <w:color w:val="1E3A5F"/>
        </w:rPr>
        <w:t>6.1 Automated Bias Detection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Run Bias Analysis. The system evaluates five bias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Bias Type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It Detects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Selection Bias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Non-random treatment assignment, selection by indication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Confounding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Unmeasured or inadequately controlled confounders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Measurement Bias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Inconsistent outcome ascertainment across groups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Temporal Bias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Immortal time bias, lead-time bias, time-window bias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Publication Bias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Over-representation of positive results in literature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Review severity scores (0-1) for each bias type.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Review the E-value for unmeasured confounding:</w:t>
      </w:r>
    </w:p>
    <w:p>
      <w:pPr>
        <w:spacing w:after="120"/>
      </w:pPr>
      <w:r>
        <w:rPr>
          <w:rFonts w:ascii="Calibri" w:hAnsi="Calibri"/>
          <w:b w:val="0"/>
          <w:i/>
          <w:color w:val="1F2A36"/>
          <w:sz w:val="21"/>
        </w:rPr>
        <w:t>The E-value tells you how strong an unmeasured confounder would need to be to explain away your treatment effect. Higher E-values mean more robust results.</w:t>
      </w:r>
    </w:p>
    <w:p>
      <w:pPr>
        <w:pStyle w:val="Heading2"/>
      </w:pPr>
      <w:r>
        <w:rPr>
          <w:rFonts w:ascii="Calibri" w:hAnsi="Calibri"/>
          <w:color w:val="1E3A5F"/>
        </w:rPr>
        <w:t>6.2 Sensitivity Analyses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The Sensitivity Catalog shows 24 pre-configured sensitivity analyses:</w:t>
      </w:r>
    </w:p>
    <w:p>
      <w:pPr>
        <w:pStyle w:val="ListBullet"/>
      </w:pPr>
      <w:r>
        <w:rPr>
          <w:rFonts w:ascii="Calibri" w:hAnsi="Calibri"/>
          <w:sz w:val="21"/>
        </w:rPr>
        <w:t>Tipping-point analysis (how many outcomes would need to change to flip significance)</w:t>
      </w:r>
    </w:p>
    <w:p>
      <w:pPr>
        <w:pStyle w:val="ListBullet"/>
      </w:pPr>
      <w:r>
        <w:rPr>
          <w:rFonts w:ascii="Calibri" w:hAnsi="Calibri"/>
          <w:sz w:val="21"/>
        </w:rPr>
        <w:t>Leave-one-out analysis (effect of removing each study)</w:t>
      </w:r>
    </w:p>
    <w:p>
      <w:pPr>
        <w:pStyle w:val="ListBullet"/>
      </w:pPr>
      <w:r>
        <w:rPr>
          <w:rFonts w:ascii="Calibri" w:hAnsi="Calibri"/>
          <w:sz w:val="21"/>
        </w:rPr>
        <w:t>Subgroup analyses (by age, sex, region, etc.)</w:t>
      </w:r>
    </w:p>
    <w:p>
      <w:pPr>
        <w:pStyle w:val="ListBullet"/>
      </w:pPr>
      <w:r>
        <w:rPr>
          <w:rFonts w:ascii="Calibri" w:hAnsi="Calibri"/>
          <w:sz w:val="21"/>
        </w:rPr>
        <w:t>Alternative estimand strategies</w:t>
      </w:r>
    </w:p>
    <w:p>
      <w:pPr>
        <w:pStyle w:val="Heading2"/>
      </w:pPr>
      <w:r>
        <w:rPr>
          <w:rFonts w:ascii="Calibri" w:hAnsi="Calibri"/>
          <w:color w:val="1E3A5F"/>
        </w:rPr>
        <w:t>6.3 Missing Data Assessment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the Missing Data tab.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Review the missing data pattern summary.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Run Multiple Imputation (MICE) with Rubin's rules pooling.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Run Tipping-Point Analysis to find the delta where significance flips.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5: </w:t>
      </w:r>
      <w:r>
        <w:rPr>
          <w:rFonts w:ascii="Calibri" w:hAnsi="Calibri"/>
          <w:color w:val="1F2A36"/>
          <w:sz w:val="21"/>
        </w:rPr>
        <w:t>Run MMRM if you have repeated measures data.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7. Running Statistical Analyses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7: Effect Estimation.</w:t>
      </w:r>
    </w:p>
    <w:p>
      <w:pPr>
        <w:pStyle w:val="Heading2"/>
      </w:pPr>
      <w:r>
        <w:rPr>
          <w:rFonts w:ascii="Calibri" w:hAnsi="Calibri"/>
          <w:color w:val="1E3A5F"/>
        </w:rPr>
        <w:t>7.1 Primary Analysis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The system supports these primary analysis methods: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When to Use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Cox Proportional Hazards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Time-to-event endpoints (OS, PFS)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Hazard ratio, 95% CI, p-value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IPTW (Inverse Probability Weighting)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Observational data with confounding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Weighted treatment effect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Propensity Score Matching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Creating balanced comparison groups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Matched cohort analysis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Kaplan-Meier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Survival curve visualization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Survival curves, median survival, log-rank p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Select your primary analysis method.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Configure covariates for adjustment.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Click Run Analysis. Results appear in the forest plot.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Click Show Your Work on any result to see the full computational trace:</w:t>
      </w:r>
    </w:p>
    <w:p>
      <w:pPr>
        <w:pStyle w:val="ListBullet"/>
      </w:pPr>
      <w:r>
        <w:rPr>
          <w:rFonts w:ascii="Calibri" w:hAnsi="Calibri"/>
          <w:sz w:val="21"/>
        </w:rPr>
        <w:t>Model Card: method specification, assumptions, limitations</w:t>
      </w:r>
    </w:p>
    <w:p>
      <w:pPr>
        <w:pStyle w:val="ListBullet"/>
      </w:pPr>
      <w:r>
        <w:rPr>
          <w:rFonts w:ascii="Calibri" w:hAnsi="Calibri"/>
          <w:sz w:val="21"/>
        </w:rPr>
        <w:t>Formula: exact mathematical formulation</w:t>
      </w:r>
    </w:p>
    <w:p>
      <w:pPr>
        <w:pStyle w:val="ListBullet"/>
      </w:pPr>
      <w:r>
        <w:rPr>
          <w:rFonts w:ascii="Calibri" w:hAnsi="Calibri"/>
          <w:sz w:val="21"/>
        </w:rPr>
        <w:t>Inputs: data sources and transformations</w:t>
      </w:r>
    </w:p>
    <w:p>
      <w:pPr>
        <w:pStyle w:val="ListBullet"/>
      </w:pPr>
      <w:r>
        <w:rPr>
          <w:rFonts w:ascii="Calibri" w:hAnsi="Calibri"/>
          <w:sz w:val="21"/>
        </w:rPr>
        <w:t>Diagnostics: convergence, PH assumption test, goodness-of-fit</w:t>
      </w:r>
    </w:p>
    <w:p>
      <w:pPr>
        <w:pStyle w:val="ListBullet"/>
      </w:pPr>
      <w:r>
        <w:rPr>
          <w:rFonts w:ascii="Calibri" w:hAnsi="Calibri"/>
          <w:sz w:val="21"/>
        </w:rPr>
        <w:t>Sensitivity: alternative specifications</w:t>
      </w:r>
    </w:p>
    <w:p>
      <w:pPr>
        <w:pStyle w:val="ListBullet"/>
      </w:pPr>
      <w:r>
        <w:rPr>
          <w:rFonts w:ascii="Calibri" w:hAnsi="Calibri"/>
          <w:sz w:val="21"/>
        </w:rPr>
        <w:t>Lineage: full provenance chain from raw data to result</w:t>
      </w:r>
    </w:p>
    <w:p>
      <w:pPr>
        <w:pStyle w:val="Heading2"/>
      </w:pPr>
      <w:r>
        <w:rPr>
          <w:rFonts w:ascii="Calibri" w:hAnsi="Calibri"/>
          <w:color w:val="1E3A5F"/>
        </w:rPr>
        <w:t>7.2 Multiplicity Adjustment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If you have multiple endpoints: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Navigate to the Multiplicity panel.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Select your adjustment method (Bonferroni, Holm, Hochberg, or Benjamini-Hochberg).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View raw and adjusted p-values side by side.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Review the testing hierarchy visualization.</w:t>
      </w:r>
    </w:p>
    <w:p>
      <w:pPr>
        <w:pStyle w:val="Heading2"/>
      </w:pPr>
      <w:r>
        <w:rPr>
          <w:rFonts w:ascii="Calibri" w:hAnsi="Calibri"/>
          <w:color w:val="1E3A5F"/>
        </w:rPr>
        <w:t>7.3 Bayesian Analysis (Optional)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Open the Bayesian panel.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Specify prior distributions (informative, weakly informative, or non-informative).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Run MCMC posterior sampling.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Review posterior distributions and credible intervals.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8. Handling Missing Data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Missing data handling is accessible from both Step 6 (Bias &amp; Sensitivity) and Step 7 (Effect Estimation).</w:t>
      </w:r>
    </w:p>
    <w:p>
      <w:pPr>
        <w:pStyle w:val="Heading2"/>
      </w:pPr>
      <w:r>
        <w:rPr>
          <w:rFonts w:ascii="Calibri" w:hAnsi="Calibri"/>
          <w:color w:val="1E3A5F"/>
        </w:rPr>
        <w:t>8.1 Multiple Imputation (MICE)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Navigate to the Missing Data tab.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Run Multiple Imputation.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Configure: number of imputations (default: 20), imputation model, variables to impute.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Review pooled results using Rubin's rules:</w:t>
      </w:r>
    </w:p>
    <w:p>
      <w:pPr>
        <w:pStyle w:val="ListBullet"/>
      </w:pPr>
      <w:r>
        <w:rPr>
          <w:rFonts w:ascii="Calibri" w:hAnsi="Calibri"/>
          <w:sz w:val="21"/>
        </w:rPr>
        <w:t>Pooled estimate (average across imputations)</w:t>
      </w:r>
    </w:p>
    <w:p>
      <w:pPr>
        <w:pStyle w:val="ListBullet"/>
      </w:pPr>
      <w:r>
        <w:rPr>
          <w:rFonts w:ascii="Calibri" w:hAnsi="Calibri"/>
          <w:sz w:val="21"/>
        </w:rPr>
        <w:t>Within-imputation variance</w:t>
      </w:r>
    </w:p>
    <w:p>
      <w:pPr>
        <w:pStyle w:val="ListBullet"/>
      </w:pPr>
      <w:r>
        <w:rPr>
          <w:rFonts w:ascii="Calibri" w:hAnsi="Calibri"/>
          <w:sz w:val="21"/>
        </w:rPr>
        <w:t>Between-imputation variance</w:t>
      </w:r>
    </w:p>
    <w:p>
      <w:pPr>
        <w:pStyle w:val="ListBullet"/>
      </w:pPr>
      <w:r>
        <w:rPr>
          <w:rFonts w:ascii="Calibri" w:hAnsi="Calibri"/>
          <w:sz w:val="21"/>
        </w:rPr>
        <w:t>Fraction of missing information</w:t>
      </w:r>
    </w:p>
    <w:p>
      <w:pPr>
        <w:pStyle w:val="ListBullet"/>
      </w:pPr>
      <w:r>
        <w:rPr>
          <w:rFonts w:ascii="Calibri" w:hAnsi="Calibri"/>
          <w:sz w:val="21"/>
        </w:rPr>
        <w:t>Relative efficiency</w:t>
      </w:r>
    </w:p>
    <w:p>
      <w:pPr>
        <w:pStyle w:val="Heading2"/>
      </w:pPr>
      <w:r>
        <w:rPr>
          <w:rFonts w:ascii="Calibri" w:hAnsi="Calibri"/>
          <w:color w:val="1E3A5F"/>
        </w:rPr>
        <w:t>8.2 Tipping-Point Analysis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Run Tipping-Point Analysis.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The system systematically shifts outcomes for missing subjects by increasing deltas.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Review the tipping delta: the value at which statistical significance reverses.</w:t>
      </w:r>
    </w:p>
    <w:p>
      <w:pPr>
        <w:pStyle w:val="Heading2"/>
      </w:pPr>
      <w:r>
        <w:rPr>
          <w:rFonts w:ascii="Calibri" w:hAnsi="Calibri"/>
          <w:color w:val="1E3A5F"/>
        </w:rPr>
        <w:t>8.3 MMRM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Run MMRM (for repeated measures data).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Specify: outcome variable, time variable, group variable, subject ID, covariates.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Review fixed effects estimates, random effects, and fit statistics (AIC, BIC, log-likelihood).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9. Generating CDISC Datasets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3: Data Provenance, then scroll to the CDISC section.</w:t>
      </w:r>
    </w:p>
    <w:p>
      <w:pPr>
        <w:pStyle w:val="Heading2"/>
      </w:pPr>
      <w:r>
        <w:rPr>
          <w:rFonts w:ascii="Calibri" w:hAnsi="Calibri"/>
          <w:color w:val="1E3A5F"/>
        </w:rPr>
        <w:t>9.1 ADaM Datasets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Generate next to each ADaM dataset type: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Dataset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Full Name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ADSL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Subject-Level Analysis Dataset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One row per subject: demographics, treatment, population flags, dates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ADAE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Adverse Events Analysis Dataset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One row per AE: MedDRA coding, severity, relationship, treatment-emergent flag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ADTTE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Time-to-Event Analysis Dataset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One row per parameter per subject: time, censoring, event description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ADLB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Laboratory Analysis Dataset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One row per lab parameter per visit: values, shift from baseline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After generation, click Validate to check against ADaM Implementation Guide rules.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Review the validation report: variable names, labels, required variables, codelist compliance.</w:t>
      </w:r>
    </w:p>
    <w:p>
      <w:pPr>
        <w:pStyle w:val="Heading2"/>
      </w:pPr>
      <w:r>
        <w:rPr>
          <w:rFonts w:ascii="Calibri" w:hAnsi="Calibri"/>
          <w:color w:val="1E3A5F"/>
        </w:rPr>
        <w:t>9.2 SDTM Datasets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Generate next to each SDTM domain:</w:t>
      </w:r>
    </w:p>
    <w:p>
      <w:pPr>
        <w:pStyle w:val="ListBullet"/>
      </w:pPr>
      <w:r>
        <w:rPr>
          <w:rFonts w:ascii="Calibri" w:hAnsi="Calibri"/>
          <w:sz w:val="21"/>
        </w:rPr>
        <w:t>DM (Demographics), AE (Adverse Events), LB (Laboratory)</w:t>
      </w:r>
    </w:p>
    <w:p>
      <w:pPr>
        <w:pStyle w:val="ListBullet"/>
      </w:pPr>
      <w:r>
        <w:rPr>
          <w:rFonts w:ascii="Calibri" w:hAnsi="Calibri"/>
          <w:sz w:val="21"/>
        </w:rPr>
        <w:t>VS (Vital Signs), EX (Exposure/Dosing), DS (Disposition)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Validate to check against SDTM IG rules.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Click Annotated CRF to view the CRF-to-SDTM mapping.</w:t>
      </w:r>
    </w:p>
    <w:p>
      <w:r>
        <w:rPr>
          <w:rFonts w:ascii="Calibri" w:hAnsi="Calibri"/>
          <w:b/>
          <w:color w:val="2563EB"/>
          <w:sz w:val="20"/>
        </w:rPr>
        <w:t xml:space="preserve">NOTE: </w:t>
      </w:r>
      <w:r>
        <w:rPr>
          <w:rFonts w:ascii="Calibri" w:hAnsi="Calibri"/>
          <w:color w:val="1F2A36"/>
          <w:sz w:val="20"/>
        </w:rPr>
        <w:t>CDISC dataset generation uses simulated data that matches your study definition (sample size, arms, endpoints). For production submissions, replace with real clinical data.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10. Creating Tables, Figures, and Listings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10: Regulatory Output, then click the TFL section.</w:t>
      </w:r>
    </w:p>
    <w:p>
      <w:pPr>
        <w:pStyle w:val="Heading2"/>
      </w:pPr>
      <w:r>
        <w:rPr>
          <w:rFonts w:ascii="Calibri" w:hAnsi="Calibri"/>
          <w:color w:val="1E3A5F"/>
        </w:rPr>
        <w:t>10.1 Available TFLs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TFL Number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Table 14.1.1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Demographics and Baseline Characteristics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Table 14.3.1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Adverse Events by System Organ Class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Table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Figure 14.1.1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Covariate Balance Love Plot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Figure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Figure 14.2.1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Kaplan-Meier Survival Curves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Figure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Figure 14.2.2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Forest Plot of Treatment Effects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Figure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Generate next to any TFL to produce it.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Generate All to produce the complete TFL package.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Download individual TFLs or the full package as a ZIP.</w:t>
      </w:r>
    </w:p>
    <w:p>
      <w:pPr>
        <w:pStyle w:val="Heading2"/>
      </w:pPr>
      <w:r>
        <w:rPr>
          <w:rFonts w:ascii="Calibri" w:hAnsi="Calibri"/>
          <w:color w:val="1E3A5F"/>
        </w:rPr>
        <w:t>10.2 Demographics Table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The demographics table (Table 14.1.1) shows:</w:t>
      </w:r>
    </w:p>
    <w:p>
      <w:pPr>
        <w:pStyle w:val="ListBullet"/>
      </w:pPr>
      <w:r>
        <w:rPr>
          <w:rFonts w:ascii="Calibri" w:hAnsi="Calibri"/>
          <w:sz w:val="21"/>
        </w:rPr>
        <w:t>Continuous variables: n, mean, SD, median, min, max</w:t>
      </w:r>
    </w:p>
    <w:p>
      <w:pPr>
        <w:pStyle w:val="ListBullet"/>
      </w:pPr>
      <w:r>
        <w:rPr>
          <w:rFonts w:ascii="Calibri" w:hAnsi="Calibri"/>
          <w:sz w:val="21"/>
        </w:rPr>
        <w:t>Categorical variables: n, percentage</w:t>
      </w:r>
    </w:p>
    <w:p>
      <w:pPr>
        <w:pStyle w:val="ListBullet"/>
      </w:pPr>
      <w:r>
        <w:rPr>
          <w:rFonts w:ascii="Calibri" w:hAnsi="Calibri"/>
          <w:sz w:val="21"/>
        </w:rPr>
        <w:t>Between-group comparison p-values</w:t>
      </w:r>
    </w:p>
    <w:p>
      <w:pPr>
        <w:pStyle w:val="ListBullet"/>
      </w:pPr>
      <w:r>
        <w:rPr>
          <w:rFonts w:ascii="Calibri" w:hAnsi="Calibri"/>
          <w:sz w:val="21"/>
        </w:rPr>
        <w:t>Columns: Treatment, Control, Total</w:t>
      </w:r>
    </w:p>
    <w:p>
      <w:pPr>
        <w:pStyle w:val="Heading2"/>
      </w:pPr>
      <w:r>
        <w:rPr>
          <w:rFonts w:ascii="Calibri" w:hAnsi="Calibri"/>
          <w:color w:val="1E3A5F"/>
        </w:rPr>
        <w:t>10.3 Kaplan-Meier Curves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The KM curve (Figure 14.2.1) includes:</w:t>
      </w:r>
    </w:p>
    <w:p>
      <w:pPr>
        <w:pStyle w:val="ListBullet"/>
      </w:pPr>
      <w:r>
        <w:rPr>
          <w:rFonts w:ascii="Calibri" w:hAnsi="Calibri"/>
          <w:sz w:val="21"/>
        </w:rPr>
        <w:t>Survival probability curves for each arm</w:t>
      </w:r>
    </w:p>
    <w:p>
      <w:pPr>
        <w:pStyle w:val="ListBullet"/>
      </w:pPr>
      <w:r>
        <w:rPr>
          <w:rFonts w:ascii="Calibri" w:hAnsi="Calibri"/>
          <w:sz w:val="21"/>
        </w:rPr>
        <w:t>95% confidence bands</w:t>
      </w:r>
    </w:p>
    <w:p>
      <w:pPr>
        <w:pStyle w:val="ListBullet"/>
      </w:pPr>
      <w:r>
        <w:rPr>
          <w:rFonts w:ascii="Calibri" w:hAnsi="Calibri"/>
          <w:sz w:val="21"/>
        </w:rPr>
        <w:t>At-risk table below the plot</w:t>
      </w:r>
    </w:p>
    <w:p>
      <w:pPr>
        <w:pStyle w:val="ListBullet"/>
      </w:pPr>
      <w:r>
        <w:rPr>
          <w:rFonts w:ascii="Calibri" w:hAnsi="Calibri"/>
          <w:sz w:val="21"/>
        </w:rPr>
        <w:t>Median survival annotation</w:t>
      </w:r>
    </w:p>
    <w:p>
      <w:pPr>
        <w:pStyle w:val="ListBullet"/>
      </w:pPr>
      <w:r>
        <w:rPr>
          <w:rFonts w:ascii="Calibri" w:hAnsi="Calibri"/>
          <w:sz w:val="21"/>
        </w:rPr>
        <w:t>Log-rank p-value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11. Authoring the Statistical Analysis Plan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Navigate to Step 10: Regulatory Output.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Generate SAP.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The system produces a 17-section ICH E9(R1)-compliant SAP document (DOCX) including: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1-2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Title page, table of contents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3-4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Study objectives and design overview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Study populations (ITT, mITT, PP, Safety) with flag definitions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Estimand framework: population, variable, ICE strategies, summary measure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7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Endpoints with operational definitions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8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Sample size justification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9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Statistical methods: primary model, covariate adjustment, subgroup analyses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10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Missing data strategy: MMRM/MI primary, tipping-point sensitivity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11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Multiplicity adjustment: testing hierarchy and alpha allocation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12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Interim analysis plan (if applicable)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13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TFL shell specifications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14-15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Software and references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Download the DOCX file and review.</w:t>
      </w:r>
    </w:p>
    <w:p>
      <w:pPr>
        <w:spacing w:after="80"/>
      </w:pPr>
      <w:r>
        <w:rPr>
          <w:rFonts w:ascii="Calibri" w:hAnsi="Calibri"/>
          <w:b/>
          <w:color w:val="059669"/>
          <w:sz w:val="20"/>
        </w:rPr>
        <w:t xml:space="preserve">TIP: </w:t>
      </w:r>
      <w:r>
        <w:rPr>
          <w:rFonts w:ascii="Calibri" w:hAnsi="Calibri"/>
          <w:color w:val="1F2A36"/>
          <w:sz w:val="20"/>
        </w:rPr>
        <w:t>Generate the SAP after defining your study protocol, covariates, and analysis methods. The SAP pulls from all configured sections.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12. Collaborative Evidence Review</w:t>
      </w:r>
    </w:p>
    <w:p>
      <w:pPr>
        <w:pStyle w:val="Heading2"/>
      </w:pPr>
      <w:r>
        <w:rPr>
          <w:rFonts w:ascii="Calibri" w:hAnsi="Calibri"/>
          <w:color w:val="1E3A5F"/>
        </w:rPr>
        <w:t>12.1 Assigning Reviewers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From the project page, click Assign Reviewers.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Select evidence records to review.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Assign team members with a role (Reviewer, Senior Reviewer, Approver).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Set priority (Low, Normal, High, Urgent) and due dates.</w:t>
      </w:r>
    </w:p>
    <w:p>
      <w:pPr>
        <w:pStyle w:val="Heading2"/>
      </w:pPr>
      <w:r>
        <w:rPr>
          <w:rFonts w:ascii="Calibri" w:hAnsi="Calibri"/>
          <w:color w:val="1E3A5F"/>
        </w:rPr>
        <w:t>12.2 Reviewing Evidence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Reviewers see their assignments on the Dashboard.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an assignment to open the evidence review page.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Read the evidence, comparability scores, and bias analysis.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Add comments (threaded, with @mentions for team members).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5: </w:t>
      </w:r>
      <w:r>
        <w:rPr>
          <w:rFonts w:ascii="Calibri" w:hAnsi="Calibri"/>
          <w:color w:val="1F2A36"/>
          <w:sz w:val="21"/>
        </w:rPr>
        <w:t>Submit a decision:</w:t>
      </w:r>
    </w:p>
    <w:p>
      <w:pPr>
        <w:pStyle w:val="ListBullet"/>
      </w:pPr>
      <w:r>
        <w:rPr>
          <w:rFonts w:ascii="Calibri" w:hAnsi="Calibri"/>
          <w:sz w:val="21"/>
        </w:rPr>
        <w:t>Accepted: evidence is suitable for inclusion</w:t>
      </w:r>
    </w:p>
    <w:p>
      <w:pPr>
        <w:pStyle w:val="ListBullet"/>
      </w:pPr>
      <w:r>
        <w:rPr>
          <w:rFonts w:ascii="Calibri" w:hAnsi="Calibri"/>
          <w:sz w:val="21"/>
        </w:rPr>
        <w:t>Rejected: evidence does not meet criteria</w:t>
      </w:r>
    </w:p>
    <w:p>
      <w:pPr>
        <w:pStyle w:val="ListBullet"/>
      </w:pPr>
      <w:r>
        <w:rPr>
          <w:rFonts w:ascii="Calibri" w:hAnsi="Calibri"/>
          <w:sz w:val="21"/>
        </w:rPr>
        <w:t>Deferred: more information needed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6: </w:t>
      </w:r>
      <w:r>
        <w:rPr>
          <w:rFonts w:ascii="Calibri" w:hAnsi="Calibri"/>
          <w:color w:val="1F2A36"/>
          <w:sz w:val="21"/>
        </w:rPr>
        <w:t>Set a confidence level (0-100%) and provide written rationale.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7: </w:t>
      </w:r>
      <w:r>
        <w:rPr>
          <w:rFonts w:ascii="Calibri" w:hAnsi="Calibri"/>
          <w:color w:val="1F2A36"/>
          <w:sz w:val="21"/>
        </w:rPr>
        <w:t>Submit. Your decision is cryptographically signed (SHA-256 hash of decision + timestamp + user ID).</w:t>
      </w:r>
    </w:p>
    <w:p>
      <w:pPr>
        <w:pStyle w:val="Heading2"/>
      </w:pPr>
      <w:r>
        <w:rPr>
          <w:rFonts w:ascii="Calibri" w:hAnsi="Calibri"/>
          <w:color w:val="1E3A5F"/>
        </w:rPr>
        <w:t>12.3 Conflict Resolution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When reviewers disagree: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The system flags the conflict.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A senior reviewer or admin navigates to Review &gt; Conflicts.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Reviews both decisions and rationales side by side.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Submits a resolution with justification.</w:t>
      </w:r>
    </w:p>
    <w:p>
      <w:r>
        <w:rPr>
          <w:rFonts w:ascii="Calibri" w:hAnsi="Calibri"/>
          <w:b/>
          <w:color w:val="2563EB"/>
          <w:sz w:val="20"/>
        </w:rPr>
        <w:t xml:space="preserve">NOTE: </w:t>
      </w:r>
      <w:r>
        <w:rPr>
          <w:rFonts w:ascii="Calibri" w:hAnsi="Calibri"/>
          <w:color w:val="1F2A36"/>
          <w:sz w:val="20"/>
        </w:rPr>
        <w:t>All review decisions, comments, and conflict resolutions are recorded in the immutable audit trail.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13. Generating Clinical Study Report Sections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10: Regulatory Output.</w:t>
      </w:r>
    </w:p>
    <w:p>
      <w:pPr>
        <w:pStyle w:val="Heading2"/>
      </w:pPr>
      <w:r>
        <w:rPr>
          <w:rFonts w:ascii="Calibri" w:hAnsi="Calibri"/>
          <w:color w:val="1E3A5F"/>
        </w:rPr>
        <w:t>13.1 Available CSR Sections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Title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Content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Synopsis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Study Synopsis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One-page summary of study design, methods, and key results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Section 11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Efficacy Evaluation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Primary and secondary endpoint analyses, subgroup results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Section 12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Safety Evaluation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AE tables, SAE analysis, deaths, discontinuations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Appendix 16.1.9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Statistical Methods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Detailed description of all statistical methods used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Generate next to any section, or Generate Full CSR for all sections at once.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Each section is saved as a DOCX file and stored as a regulatory artifact.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Download from the Artifacts list or from the project page.</w:t>
      </w:r>
    </w:p>
    <w:p>
      <w:pPr>
        <w:pStyle w:val="Heading2"/>
      </w:pPr>
      <w:r>
        <w:rPr>
          <w:rFonts w:ascii="Calibri" w:hAnsi="Calibri"/>
          <w:color w:val="1E3A5F"/>
        </w:rPr>
        <w:t>13.2 ADRG (Analysis Data Reviewer's Guide)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Generate ADRG.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The system produces a PhUSE-compliant ADRG documenting:</w:t>
      </w:r>
    </w:p>
    <w:p>
      <w:pPr>
        <w:pStyle w:val="ListBullet"/>
      </w:pPr>
      <w:r>
        <w:rPr>
          <w:rFonts w:ascii="Calibri" w:hAnsi="Calibri"/>
          <w:sz w:val="21"/>
        </w:rPr>
        <w:t>Computational environment (Python version, package list)</w:t>
      </w:r>
    </w:p>
    <w:p>
      <w:pPr>
        <w:pStyle w:val="ListBullet"/>
      </w:pPr>
      <w:r>
        <w:rPr>
          <w:rFonts w:ascii="Calibri" w:hAnsi="Calibri"/>
          <w:sz w:val="21"/>
        </w:rPr>
        <w:t>Dataset structure and relationships</w:t>
      </w:r>
    </w:p>
    <w:p>
      <w:pPr>
        <w:pStyle w:val="ListBullet"/>
      </w:pPr>
      <w:r>
        <w:rPr>
          <w:rFonts w:ascii="Calibri" w:hAnsi="Calibri"/>
          <w:sz w:val="21"/>
        </w:rPr>
        <w:t>Program listing and execution order</w:t>
      </w:r>
    </w:p>
    <w:p>
      <w:pPr>
        <w:pStyle w:val="ListBullet"/>
      </w:pPr>
      <w:r>
        <w:rPr>
          <w:rFonts w:ascii="Calibri" w:hAnsi="Calibri"/>
          <w:sz w:val="21"/>
        </w:rPr>
        <w:t>Variable derivation rules</w:t>
      </w:r>
    </w:p>
    <w:p>
      <w:pPr>
        <w:pStyle w:val="Heading2"/>
      </w:pPr>
      <w:r>
        <w:rPr>
          <w:rFonts w:ascii="Calibri" w:hAnsi="Calibri"/>
          <w:color w:val="1E3A5F"/>
        </w:rPr>
        <w:t>13.3 Define-XML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Generate Define-XML.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The system produces a CDISC Define-XML 2.1 document containing:</w:t>
      </w:r>
    </w:p>
    <w:p>
      <w:pPr>
        <w:pStyle w:val="ListBullet"/>
      </w:pPr>
      <w:r>
        <w:rPr>
          <w:rFonts w:ascii="Calibri" w:hAnsi="Calibri"/>
          <w:sz w:val="21"/>
        </w:rPr>
        <w:t>All ADaM dataset descriptions</w:t>
      </w:r>
    </w:p>
    <w:p>
      <w:pPr>
        <w:pStyle w:val="ListBullet"/>
      </w:pPr>
      <w:r>
        <w:rPr>
          <w:rFonts w:ascii="Calibri" w:hAnsi="Calibri"/>
          <w:sz w:val="21"/>
        </w:rPr>
        <w:t>Variable-level metadata (name, label, type, origin)</w:t>
      </w:r>
    </w:p>
    <w:p>
      <w:pPr>
        <w:pStyle w:val="ListBullet"/>
      </w:pPr>
      <w:r>
        <w:rPr>
          <w:rFonts w:ascii="Calibri" w:hAnsi="Calibri"/>
          <w:sz w:val="21"/>
        </w:rPr>
        <w:t>Codelist definitions</w:t>
      </w:r>
    </w:p>
    <w:p>
      <w:pPr>
        <w:pStyle w:val="ListBullet"/>
      </w:pPr>
      <w:r>
        <w:rPr>
          <w:rFonts w:ascii="Calibri" w:hAnsi="Calibri"/>
          <w:sz w:val="21"/>
        </w:rPr>
        <w:t>Value-level metadata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Click Validate to check against Define-XML schema rules.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14. Preparing the Submission Package (eCTD)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This is the final step: assembling everything into an FDA-ready eCTD Module 5 package.</w:t>
      </w:r>
    </w:p>
    <w:p>
      <w:pPr>
        <w:pStyle w:val="Heading2"/>
      </w:pPr>
      <w:r>
        <w:rPr>
          <w:rFonts w:ascii="Calibri" w:hAnsi="Calibri"/>
          <w:color w:val="1E3A5F"/>
        </w:rPr>
        <w:t>14.1 Submission Readiness Check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Navigate to Step 10: Regulatory Output.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Click Submission Readiness. The system checks: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Checkpoint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What Is Verified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Protocol locked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Study definition is frozen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Evidence reviewed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All evidence has reviewer decisions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Bias assessed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Bias analysis completed for all comparisons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TFLs generated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All required tables, figures, and listings exist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CSR sections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Synopsis, Section 11, Section 12, Appendix 16 generated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ADaM datasets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ADSL, ADAE, ADTTE validated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Define-XML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Generated and validated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ADRG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Generated</w:t>
            </w:r>
          </w:p>
        </w:tc>
      </w:tr>
    </w:tbl>
    <w:p/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Fix any gaps before proceeding.</w:t>
      </w:r>
    </w:p>
    <w:p>
      <w:pPr>
        <w:pStyle w:val="Heading2"/>
      </w:pPr>
      <w:r>
        <w:rPr>
          <w:rFonts w:ascii="Calibri" w:hAnsi="Calibri"/>
          <w:color w:val="1E3A5F"/>
        </w:rPr>
        <w:t>14.2 Generating the eCTD Package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Click Generate eCTD Package.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The system assembles:</w:t>
      </w:r>
    </w:p>
    <w:p>
      <w:pPr>
        <w:pStyle w:val="ListBullet"/>
      </w:pPr>
      <w:r>
        <w:rPr>
          <w:rFonts w:ascii="Calibri" w:hAnsi="Calibri"/>
          <w:sz w:val="21"/>
        </w:rPr>
        <w:t>m5/datasets/analysis/ (ADaM datasets + Define-XML)</w:t>
      </w:r>
    </w:p>
    <w:p>
      <w:pPr>
        <w:pStyle w:val="ListBullet"/>
      </w:pPr>
      <w:r>
        <w:rPr>
          <w:rFonts w:ascii="Calibri" w:hAnsi="Calibri"/>
          <w:sz w:val="21"/>
        </w:rPr>
        <w:t>m5/datasets/tabulations/ (SDTM datasets)</w:t>
      </w:r>
    </w:p>
    <w:p>
      <w:pPr>
        <w:pStyle w:val="ListBullet"/>
      </w:pPr>
      <w:r>
        <w:rPr>
          <w:rFonts w:ascii="Calibri" w:hAnsi="Calibri"/>
          <w:sz w:val="21"/>
        </w:rPr>
        <w:t>m5/clinical-study-reports/ (CSR sections)</w:t>
      </w:r>
    </w:p>
    <w:p>
      <w:pPr>
        <w:pStyle w:val="ListBullet"/>
      </w:pPr>
      <w:r>
        <w:rPr>
          <w:rFonts w:ascii="Calibri" w:hAnsi="Calibri"/>
          <w:sz w:val="21"/>
        </w:rPr>
        <w:t>m5/literature-references/ (evidence bibliography)</w:t>
      </w:r>
    </w:p>
    <w:p>
      <w:pPr>
        <w:pStyle w:val="ListBullet"/>
      </w:pPr>
      <w:r>
        <w:rPr>
          <w:rFonts w:ascii="Calibri" w:hAnsi="Calibri"/>
          <w:sz w:val="21"/>
        </w:rPr>
        <w:t>Study Tagging File (STF)</w:t>
      </w:r>
    </w:p>
    <w:p>
      <w:pPr>
        <w:pStyle w:val="ListBullet"/>
      </w:pPr>
      <w:r>
        <w:rPr>
          <w:rFonts w:ascii="Calibri" w:hAnsi="Calibri"/>
          <w:sz w:val="21"/>
        </w:rPr>
        <w:t>Document checksums and manifest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Click Validate to check eCTD structure completeness.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Download the package.</w:t>
      </w:r>
    </w:p>
    <w:p>
      <w:pPr>
        <w:spacing w:after="80"/>
      </w:pPr>
      <w:r>
        <w:rPr>
          <w:rFonts w:ascii="Calibri" w:hAnsi="Calibri"/>
          <w:b/>
          <w:color w:val="059669"/>
          <w:sz w:val="20"/>
        </w:rPr>
        <w:t xml:space="preserve">TIP: </w:t>
      </w:r>
      <w:r>
        <w:rPr>
          <w:rFonts w:ascii="Calibri" w:hAnsi="Calibri"/>
          <w:color w:val="1F2A36"/>
          <w:sz w:val="20"/>
        </w:rPr>
        <w:t>Run the validation step before downloading. It catches missing files, broken references, and structural issues that the FDA gateway would reject.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15. Monitoring and Administration</w:t>
      </w:r>
    </w:p>
    <w:p>
      <w:pPr>
        <w:pStyle w:val="Heading2"/>
      </w:pPr>
      <w:r>
        <w:rPr>
          <w:rFonts w:ascii="Calibri" w:hAnsi="Calibri"/>
          <w:color w:val="1E3A5F"/>
        </w:rPr>
        <w:t>15.1 Audit Trail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Navigate to Step 9: Audit Trail.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Every action in the system is recorded with:</w:t>
      </w:r>
    </w:p>
    <w:p>
      <w:pPr>
        <w:pStyle w:val="ListBullet"/>
      </w:pPr>
      <w:r>
        <w:rPr>
          <w:rFonts w:ascii="Calibri" w:hAnsi="Calibri"/>
          <w:sz w:val="21"/>
        </w:rPr>
        <w:t>Who (user ID, email)</w:t>
      </w:r>
    </w:p>
    <w:p>
      <w:pPr>
        <w:pStyle w:val="ListBullet"/>
      </w:pPr>
      <w:r>
        <w:rPr>
          <w:rFonts w:ascii="Calibri" w:hAnsi="Calibri"/>
          <w:sz w:val="21"/>
        </w:rPr>
        <w:t>What (action type: created, updated, deleted, generated, reviewed)</w:t>
      </w:r>
    </w:p>
    <w:p>
      <w:pPr>
        <w:pStyle w:val="ListBullet"/>
      </w:pPr>
      <w:r>
        <w:rPr>
          <w:rFonts w:ascii="Calibri" w:hAnsi="Calibri"/>
          <w:sz w:val="21"/>
        </w:rPr>
        <w:t>When (timestamp, UTC)</w:t>
      </w:r>
    </w:p>
    <w:p>
      <w:pPr>
        <w:pStyle w:val="ListBullet"/>
      </w:pPr>
      <w:r>
        <w:rPr>
          <w:rFonts w:ascii="Calibri" w:hAnsi="Calibri"/>
          <w:sz w:val="21"/>
        </w:rPr>
        <w:t>Where (IP address, user agent)</w:t>
      </w:r>
    </w:p>
    <w:p>
      <w:pPr>
        <w:pStyle w:val="ListBullet"/>
      </w:pPr>
      <w:r>
        <w:rPr>
          <w:rFonts w:ascii="Calibri" w:hAnsi="Calibri"/>
          <w:sz w:val="21"/>
        </w:rPr>
        <w:t>Old and new values (for modifications)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Audit logs are retained for 7 years per regulatory requirements.</w:t>
      </w:r>
    </w:p>
    <w:p>
      <w:pPr>
        <w:pStyle w:val="Heading2"/>
      </w:pPr>
      <w:r>
        <w:rPr>
          <w:rFonts w:ascii="Calibri" w:hAnsi="Calibri"/>
          <w:color w:val="1E3A5F"/>
        </w:rPr>
        <w:t>15.2 User Management (Admin Only)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1: </w:t>
      </w:r>
      <w:r>
        <w:rPr>
          <w:rFonts w:ascii="Calibri" w:hAnsi="Calibri"/>
          <w:color w:val="1F2A36"/>
          <w:sz w:val="21"/>
        </w:rPr>
        <w:t>Navigate to Organization &gt; Users.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2: </w:t>
      </w:r>
      <w:r>
        <w:rPr>
          <w:rFonts w:ascii="Calibri" w:hAnsi="Calibri"/>
          <w:color w:val="1F2A36"/>
          <w:sz w:val="21"/>
        </w:rPr>
        <w:t>Invite new users: enter email, name, and role.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3: </w:t>
      </w:r>
      <w:r>
        <w:rPr>
          <w:rFonts w:ascii="Calibri" w:hAnsi="Calibri"/>
          <w:color w:val="1F2A36"/>
          <w:sz w:val="21"/>
        </w:rPr>
        <w:t>Change roles: click a user, select new role (Admin, Reviewer, Analyst, Viewer).</w:t>
      </w:r>
    </w:p>
    <w:p>
      <w:pPr>
        <w:spacing w:after="80"/>
      </w:pPr>
      <w:r>
        <w:rPr>
          <w:rFonts w:ascii="Calibri" w:hAnsi="Calibri"/>
          <w:b/>
          <w:color w:val="2563EB"/>
          <w:sz w:val="22"/>
        </w:rPr>
        <w:t xml:space="preserve">Step 4: </w:t>
      </w:r>
      <w:r>
        <w:rPr>
          <w:rFonts w:ascii="Calibri" w:hAnsi="Calibri"/>
          <w:color w:val="1F2A36"/>
          <w:sz w:val="21"/>
        </w:rPr>
        <w:t>Deactivate users: click Deactivate to prevent login without deleting the account.</w:t>
      </w:r>
    </w:p>
    <w:p>
      <w:pPr>
        <w:pStyle w:val="Heading2"/>
      </w:pPr>
      <w:r>
        <w:rPr>
          <w:rFonts w:ascii="Calibri" w:hAnsi="Calibri"/>
          <w:color w:val="1E3A5F"/>
        </w:rPr>
        <w:t>15.3 System Health</w:t>
      </w:r>
    </w:p>
    <w:p>
      <w:pPr>
        <w:spacing w:after="120"/>
      </w:pPr>
      <w:r>
        <w:rPr>
          <w:rFonts w:ascii="Calibri" w:hAnsi="Calibri"/>
          <w:b w:val="0"/>
          <w:i w:val="0"/>
          <w:color w:val="1F2A36"/>
          <w:sz w:val="21"/>
        </w:rPr>
        <w:t>Admin users can access:</w:t>
      </w:r>
    </w:p>
    <w:p>
      <w:pPr>
        <w:pStyle w:val="ListBullet"/>
      </w:pPr>
      <w:r>
        <w:rPr>
          <w:rFonts w:ascii="Calibri" w:hAnsi="Calibri"/>
          <w:sz w:val="21"/>
        </w:rPr>
        <w:t>System Metrics: request throughput, latency percentiles (p50/p95/p99), error rates</w:t>
      </w:r>
    </w:p>
    <w:p>
      <w:pPr>
        <w:pStyle w:val="ListBullet"/>
      </w:pPr>
      <w:r>
        <w:rPr>
          <w:rFonts w:ascii="Calibri" w:hAnsi="Calibri"/>
          <w:sz w:val="21"/>
        </w:rPr>
        <w:t>Cache Stats: hit ratios, key count, backend type</w:t>
      </w:r>
    </w:p>
    <w:p>
      <w:pPr>
        <w:pStyle w:val="ListBullet"/>
      </w:pPr>
      <w:r>
        <w:rPr>
          <w:rFonts w:ascii="Calibri" w:hAnsi="Calibri"/>
          <w:sz w:val="21"/>
        </w:rPr>
        <w:t>Storage Stats: file count, total size, backend (local/S3)</w:t>
      </w:r>
    </w:p>
    <w:p>
      <w:pPr>
        <w:pStyle w:val="ListBullet"/>
      </w:pPr>
      <w:r>
        <w:rPr>
          <w:rFonts w:ascii="Calibri" w:hAnsi="Calibri"/>
          <w:sz w:val="21"/>
        </w:rPr>
        <w:t>Background Tasks: running/completed/failed task list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Appendix A: Account Types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Can Do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Cannot Do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Admin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Everything: user management, system config, all analysis + review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N/A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Reviewer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Review evidence, submit decisions, add comments, generate artifacts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Manage users, change system settings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Analyst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Create projects, discover evidence, run analyses, generate TFLs/CSR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Submit review decisions, manage users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Viewer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View projects, evidence, results, and artifacts (read-only)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Create, modify, or delete anything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Appendix B: Keyboard Shortcuts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Shortcut</w:t>
            </w:r>
          </w:p>
        </w:tc>
        <w:tc>
          <w:tcPr>
            <w:tcW w:type="dxa" w:w="468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Ctrl + S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Save current page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Ctrl + 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Create new project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Ctrl + /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Open search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Esc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Close modal or drawer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Tab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Navigate between form fields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/>
          <w:color w:val="1E3A5F"/>
        </w:rPr>
        <w:t>Appendix C: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120"/>
            <w:shd w:val="clear" w:color="auto" w:fill="1E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Solution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Page shows 'Something went wrong'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JavaScript error on one page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Click Try Again or Go to Dashboard. Navigate back to the page.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Login returns no error message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Network issue or server down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Check browser console (F12). Verify the server URL is correct.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Evidence discovery stuck at 0%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Background task pending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Check Tasks list in the header. The task may be queued behind others.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Statistical analysis returns empty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No data loaded for project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Ensure evidence has been discovered and covariates defined.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File upload rejected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Wrong file type or too large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Allowed: PDF, DOCX, DOC, TXT, MD. Max size: 100MB.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Cannot see other users' projects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Multi-tenancy isolation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You can only see projects in your organization. Contact admin.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Rate limit error (429)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Too many requests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1F2A36"/>
                <w:sz w:val="18"/>
              </w:rPr>
              <w:t>Wait 60 seconds and retry. Login is limited to 5 attempts/minute.</w:t>
            </w:r>
          </w:p>
        </w:tc>
      </w:tr>
    </w:tbl>
    <w:p/>
    <w:p/>
    <w:p/>
    <w:p>
      <w:pPr>
        <w:jc w:val="center"/>
      </w:pPr>
      <w:r>
        <w:rPr>
          <w:rFonts w:ascii="Calibri" w:hAnsi="Calibri"/>
          <w:color w:val="6B7280"/>
          <w:sz w:val="18"/>
        </w:rPr>
        <w:t>Afarensis Enterprise v2.1 — Synthetic Ascension — Confidential</w:t>
      </w:r>
    </w:p>
    <w:sectPr w:rsidR="00FC693F" w:rsidRPr="0006063C" w:rsidSect="00034616">
      <w:pgSz w:w="12240" w:h="15840"/>
      <w:pgMar w:top="1296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