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Fig. 1S.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Bayesian phylogenetic tree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of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Anaulus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built with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cox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 (436 bp) and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posterior probability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The results of species delimitation using ABDG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ASAP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 PTP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models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are shown as gray bars. The origin of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Anaulus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equences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are shown as black bars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.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0500" cy="3745865"/>
            <wp:effectExtent l="0" t="0" r="6350" b="6985"/>
            <wp:docPr id="1" name="Imagem 1" descr="Cox1_Anaulus-Eunoto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x1_Anaulus-Eunotogram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F0A2F"/>
    <w:rsid w:val="093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2022-04-15T23:38:00Z</dcterms:created>
  <dc:creator>andre_000</dc:creator>
  <cp:lastModifiedBy>andre_000</cp:lastModifiedBy>
  <dcterms:modified xsi:type="dcterms:W3CDTF">2022-04-16T00:06:57Z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B8DAC3EB5EEE47B4B9D594A6CBEEBB48</vt:lpwstr>
  </property>
</Properties>
</file>