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conectividade-local"/>
    <w:p>
      <w:pPr>
        <w:pStyle w:val="Ttulo1"/>
      </w:pPr>
      <w:r>
        <w:t xml:space="preserve">Conectividade local</w:t>
      </w:r>
    </w:p>
    <w:bookmarkStart w:id="24" w:name="cálculos-de-resistência"/>
    <w:p>
      <w:pPr>
        <w:pStyle w:val="Ttulo2"/>
      </w:pPr>
      <w:r>
        <w:t xml:space="preserve">Cálculos de resistência</w:t>
      </w:r>
    </w:p>
    <w:p>
      <w:pPr>
        <w:pStyle w:val="FirstParagraph"/>
      </w:pPr>
      <w:r>
        <w:t xml:space="preserve">Os valores de resistência são medidas relativas do grau de dificuldade de deslocamento dos organismos nos diferentes tipos de cobertura do solo. Esses valores foram atribuídos por bioma, seguindo a premissa de que quanto maior for a diferença estrutural entre um dado tipo de cobertura do solo e a vegetação original do bioma, maior será o valor de resistência da classe de cobertura do solo em questão.</w:t>
      </w:r>
    </w:p>
    <w:p>
      <w:pPr>
        <w:pStyle w:val="Textoindependiente"/>
      </w:pPr>
      <w:r>
        <w:t xml:space="preserve">Os dados espaciais primários utilizados para calcular a superfície de resistência foram a camada de cobertura do solo fornecida pelo MapBiomas</w:t>
      </w:r>
      <w:r>
        <w:t xml:space="preserve"> </w:t>
      </w:r>
      <w:r>
        <w:t xml:space="preserve">(MapBiomas Project 2020)</w:t>
      </w:r>
      <w:r>
        <w:t xml:space="preserve"> </w:t>
      </w:r>
      <w:r>
        <w:t xml:space="preserve">e a base de estradas pavimentadas e não pavimentadas fornecida pelo IBGE (BCIM250, ano 2021). Em um segundo momento, serão ainda inseridas bases de dados de infraestrutura energética, a serem incorporadas nessa camada.</w:t>
      </w:r>
    </w:p>
    <w:p>
      <w:pPr>
        <w:pStyle w:val="Textoindependiente"/>
      </w:pPr>
      <w:r>
        <w:t xml:space="preserve">A superfície de cobertura do solo do MapBiomas foi reamostrada para gerar pixels com 90 m de tamanho, aproximadamente. Também convertemos o arquivo vetorial de estradas para o formato matricial, com pixels de tamanho aproximado de 90 m. Conjugamos, por álgebra de mapas, as bases matriciais do MapBiomas e de estradas, de tal maneira que todos os pixels da base do MapBiomas que se sobrepuseram a um pixel de estrada assumiram um novo valor correpondente a um pixel de estrada pavimentada ou não pavimentada.</w:t>
      </w:r>
    </w:p>
    <w:p>
      <w:pPr>
        <w:pStyle w:val="Textoindependiente"/>
      </w:pPr>
      <w:r>
        <w:t xml:space="preserve">Os pixels do mapa consolidado de cobertura do solo, já incluindo as estradas pavimentadas e não pavimentadas como novas classes, receberam, separadamente por bioma, valores de resistência que buscaram traduzir, comparativamente entre as classes, o grau de dificuldade de movimentação da biodiversidade numa dada classe de cobertura do solo. A premissa assumida aqui é que quanto maior for a diferença estrutural da classe de cobertura do solo para o hábitat original do bioma, maior será a dificuldade à movimentação que esta classe oferece. Os valores de resistência dos pixels de cada uma das classes foram atribuídos, por bioma, pela equipe do Projeto e podem ser vistos na</w:t>
      </w:r>
      <w:r>
        <w:t xml:space="preserve"> </w:t>
      </w:r>
      <w:hyperlink w:anchor="tbl-resistencia">
        <w:r>
          <w:rPr>
            <w:rStyle w:val="Hipervnculo"/>
          </w:rPr>
          <w:t xml:space="preserve">Tabela 1</w:t>
        </w:r>
      </w:hyperlink>
      <w:r>
        <w:t xml:space="preserve">.</w:t>
      </w:r>
    </w:p>
    <w:bookmarkStart w:id="20" w:name="tbl-resistencia"/>
    <w:p>
      <w:pPr>
        <w:pStyle w:val="TableCaption"/>
      </w:pPr>
      <w:r>
        <w:t xml:space="preserve">Tabela 1: Valores de resistência para cada tipo de cobertura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ela 1: Valores de resistência para cada tipo de cobertura por bioma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Classe de cobertura do solo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MataAtlântica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Pantanal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Aquaculture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Beach, Dune and Sand Spot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Citrus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Coffee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Cotton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Estradas não pavimentadas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Estradas pavimentadas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Forest 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Forest Plantation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Grassland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Herbaceous Sandbank Vegetation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Mangrove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Mining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Mosaic of Uses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Other non Forest Formations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Other non Vegetated 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Other Perennial Crops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Other Temporary Crops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Pasture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River, Lake and Ocean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Rocky Outcrop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Salt Flat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Savanna Formation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Soybean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Sugar cane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Urban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Wetland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Wooded Sandbank Vegetation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</w:tbl>
    <w:bookmarkEnd w:id="20"/>
    <w:p>
      <w:pPr>
        <w:pStyle w:val="Textoindependiente"/>
      </w:pPr>
      <w:r>
        <w:t xml:space="preserve">Depois de atribuídos os valores de resistência, aplicamos à superfície gerada a função</w:t>
      </w:r>
      <w:r>
        <w:t xml:space="preserve"> </w:t>
      </w:r>
      <w:r>
        <w:rPr>
          <w:iCs/>
          <w:i/>
        </w:rPr>
        <w:t xml:space="preserve">kernel</w:t>
      </w:r>
      <w:r>
        <w:t xml:space="preserve"> </w:t>
      </w:r>
      <w:r>
        <w:t xml:space="preserve">de decaimento linear. Esta análise considerou, numa janela móvel de 23 pixels (~2070 m), o contexto espacial em que cada pixel está inserido, reconhecendo que pixels mais próximos possuem uma influência maior que os mais distantes. Desta maneira, a função</w:t>
      </w:r>
      <w:r>
        <w:t xml:space="preserve"> </w:t>
      </w:r>
      <w:r>
        <w:rPr>
          <w:iCs/>
          <w:i/>
        </w:rPr>
        <w:t xml:space="preserve">kernel</w:t>
      </w:r>
      <w:r>
        <w:t xml:space="preserve"> </w:t>
      </w:r>
      <w:r>
        <w:t xml:space="preserve">nos auxilia na tarefa de encontrar os melhores caminhos de deslocamento na paisagem, ou seja, aqueles caminhos que oferecem menor resistência.</w:t>
      </w:r>
    </w:p>
    <w:p>
      <w:pPr>
        <w:pStyle w:val="Textoindependiente"/>
      </w:pPr>
      <w:r>
        <w:t xml:space="preserve">Por fim, calculamos os valores de Z para cada pixel (</w:t>
      </w:r>
      <m:oMath>
        <m:sSub>
          <m:e>
            <m:r>
              <m:t>Z</m:t>
            </m:r>
          </m:e>
          <m:sub>
            <m:r>
              <m:t>p</m:t>
            </m:r>
            <m:r>
              <m:t>i</m:t>
            </m:r>
            <m:r>
              <m:t>x</m:t>
            </m:r>
            <m:r>
              <m:t>e</m:t>
            </m:r>
            <m:r>
              <m:t>l</m:t>
            </m:r>
          </m:sub>
        </m:sSub>
      </m:oMath>
      <w:r>
        <w:t xml:space="preserve">) ao subtrair o valor da média (</w:t>
      </w:r>
      <m:oMath>
        <m:r>
          <m:t>μ</m:t>
        </m:r>
      </m:oMath>
      <w:r>
        <w:t xml:space="preserve">) e dividindo o resultado pelo desvio padrão (</w:t>
      </w:r>
      <m:oMath>
        <m:r>
          <m:t>σ</m:t>
        </m:r>
      </m:oMath>
      <w:r>
        <w:t xml:space="preserve">) e multiplicando tudo por -1, como mostrado na fórmula a seguir:</w:t>
      </w:r>
    </w:p>
    <w:p>
      <w:pPr>
        <w:pStyle w:val="Textoindependiente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p</m:t>
              </m:r>
              <m:r>
                <m:t>i</m:t>
              </m:r>
              <m:r>
                <m:t>x</m:t>
              </m:r>
              <m:r>
                <m:t>e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p</m:t>
                      </m:r>
                      <m:r>
                        <m:t>i</m:t>
                      </m:r>
                      <m:r>
                        <m:t>x</m:t>
                      </m:r>
                      <m:r>
                        <m:t>e</m:t>
                      </m:r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</m:den>
              </m:f>
            </m:e>
          </m:d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1</m:t>
          </m:r>
        </m:oMath>
      </m:oMathPara>
    </w:p>
    <w:p>
      <w:pPr>
        <w:pStyle w:val="FirstParagraph"/>
      </w:pPr>
      <w:r>
        <w:t xml:space="preserve">Os cálculos de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foram feitos dentro de cada classificação de regiões eco-geológicas usando as médias e desvios padrão dentro de cada uma das classes. Multiplicamos o valores por -1 por considerarmos que a conectividade local é o inverso dos valores de resistência suavizados pelo</w:t>
      </w:r>
      <w:r>
        <w:t xml:space="preserve"> </w:t>
      </w:r>
      <w:r>
        <w:rPr>
          <w:iCs/>
          <w:i/>
        </w:rPr>
        <w:t xml:space="preserve">kernel</w:t>
      </w:r>
      <w:r>
        <w:t xml:space="preserve">.</w:t>
      </w:r>
    </w:p>
    <w:bookmarkStart w:id="23" w:name="refs"/>
    <w:bookmarkStart w:id="22" w:name="ref-mapbiomas_project_collection_2020"/>
    <w:p>
      <w:pPr>
        <w:pStyle w:val="Bibliografa"/>
      </w:pPr>
      <w:r>
        <w:t xml:space="preserve">MapBiomas Project. 2020.</w:t>
      </w:r>
      <w:r>
        <w:t xml:space="preserve"> </w:t>
      </w:r>
      <w:hyperlink r:id="rId21">
        <w:r>
          <w:rPr>
            <w:rStyle w:val="Hipervnculo"/>
          </w:rPr>
          <w:t xml:space="preserve">Collection 7 of the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Annual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Series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of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Land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Use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and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Land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Cover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Maps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of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Brazil</w:t>
        </w:r>
      </w:hyperlink>
      <w:r>
        <w:t xml:space="preserve">.</w:t>
      </w:r>
    </w:p>
    <w:bookmarkEnd w:id="22"/>
    <w:bookmarkEnd w:id="23"/>
    <w:bookmarkEnd w:id="24"/>
    <w:bookmarkEnd w:id="25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projects/mapbiomas-workspace/public/collection7/mapbiomas_collection70_integration_v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projects/mapbiomas-workspace/public/collection7/mapbiomas_collection70_integration_v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2023-09-09T14:38:22Z</dcterms:created>
  <dcterms:modified xsi:type="dcterms:W3CDTF">2023-09-09T14:38:22Z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