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diversidade-da-paisagem"/>
    <w:p>
      <w:pPr>
        <w:pStyle w:val="Ttulo1"/>
      </w:pPr>
      <w:r>
        <w:t xml:space="preserve">Diversidade da paisagem</w:t>
      </w:r>
    </w:p>
    <w:p>
      <w:pPr>
        <w:pStyle w:val="FirstParagraph"/>
      </w:pPr>
      <w:r>
        <w:t xml:space="preserve">O cálculo de diversidade da paisagem foi realizado no</w:t>
      </w:r>
      <w:r>
        <w:t xml:space="preserve"> </w:t>
      </w:r>
      <w:r>
        <w:rPr>
          <w:iCs/>
          <w:i/>
        </w:rPr>
        <w:t xml:space="preserve">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w:t>
      </w:r>
      <w:r>
        <w:t xml:space="preserve"> </w:t>
      </w:r>
      <w:r>
        <w:rPr>
          <w:iCs/>
          <w:i/>
        </w:rPr>
        <w:t xml:space="preserve">Google Earth Engine</w:t>
      </w:r>
      <w:r>
        <w:t xml:space="preserve"> </w:t>
      </w:r>
      <w:r>
        <w:t xml:space="preserve">devido a demanda computacional das análises e por ser uma plataforma baseada em nuvem, que oferece acesso remoto a uma vasta coleção de imagens de satélite e bases de dados geoespaciais de acesso livre e com capacidade computacional para realizar as análises em qualquer equipamento disponível</w:t>
      </w:r>
      <w:r>
        <w:t xml:space="preserve"> </w:t>
      </w:r>
      <w:r>
        <w:t xml:space="preserve">(Gorelick et al. 2017)</w:t>
      </w:r>
      <w:r>
        <w:t xml:space="preserve">. Isso possibilita que nossas análises sejam de livre acesso, escalonáveis para outras regiões do mundo e que contribuam para uma ciência mais transparente, reproduzível e livre.</w:t>
      </w:r>
    </w:p>
    <w:bookmarkStart w:id="25" w:name="variedade-de-landforms"/>
    <w:p>
      <w:pPr>
        <w:pStyle w:val="Ttulo4"/>
      </w:pPr>
      <w:r>
        <w:t xml:space="preserve">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landforms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índice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 </w:t>
      </w:r>
      <w:r>
        <w:t xml:space="preserve">e</w:t>
      </w:r>
      <w:r>
        <w:t xml:space="preserve"> </w:t>
      </w:r>
      <w:r>
        <w:rPr>
          <w:bCs/>
          <w:b/>
        </w:rPr>
        <w:t xml:space="preserve">lagos</w:t>
      </w:r>
      <w:r>
        <w:t xml:space="preserve"> </w:t>
      </w:r>
      <w:r>
        <w:t xml:space="preserve"> </w:t>
      </w:r>
      <w:r>
        <w:t xml:space="preserve">dos ambientes. A combinação dessas variáveis representa a variação de umidade, radiação solar e deposição de sedimentos</w:t>
      </w:r>
      <w:r>
        <w:t xml:space="preserve"> </w:t>
      </w:r>
      <w:r>
        <w:t xml:space="preserve">(Anderson et al. 2016)</w:t>
      </w:r>
      <w:r>
        <w:t xml:space="preserve"> </w:t>
      </w:r>
      <w:r>
        <w:t xml:space="preserve">na paisagem.</w:t>
      </w:r>
    </w:p>
    <w:p>
      <w:pPr>
        <w:pStyle w:val="Textoindependiente"/>
      </w:pPr>
      <w:r>
        <w:t xml:space="preserve">A metodologia de classificação de formas de relevo foi baseada em estudos prévios conduzidos pela equipe da</w:t>
      </w:r>
      <w:r>
        <w:t xml:space="preserve"> </w:t>
      </w:r>
      <w:hyperlink r:id="rId20">
        <w:r>
          <w:rPr>
            <w:rStyle w:val="Hipervnculo"/>
            <w:bCs/>
            <w:b/>
          </w:rPr>
          <w:t xml:space="preserve">TNC América do Norte</w:t>
        </w:r>
      </w:hyperlink>
      <w:r>
        <w:t xml:space="preserve">, publicada inicialmente em 2014</w:t>
      </w:r>
      <w:r>
        <w:t xml:space="preserve"> </w:t>
      </w:r>
      <w:r>
        <w:t xml:space="preserve">(Anderson et al. 2014)</w:t>
      </w:r>
      <w:r>
        <w:t xml:space="preserve"> </w:t>
      </w:r>
      <w:r>
        <w:t xml:space="preserve">e refinada em estudos posteriores</w:t>
      </w:r>
      <w:r>
        <w:t xml:space="preserve"> </w:t>
      </w:r>
      <w:r>
        <w:t xml:space="preserve">(Anderson et al. 2023)</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principalmente viéses de elevação em áreas com alta densidade de florestas. Além disso, o Merit-DEM já possui um</w:t>
      </w:r>
      <w:r>
        <w:t xml:space="preserve"> </w:t>
      </w:r>
      <w:hyperlink w:anchor="acúmulo-de-fluxo">
        <w:r>
          <w:rPr>
            <w:rStyle w:val="Hipervnculo"/>
          </w:rPr>
          <w:t xml:space="preserve">acúmulo de fluxo</w:t>
        </w:r>
      </w:hyperlink>
      <w:r>
        <w:t xml:space="preserve"> </w:t>
      </w:r>
      <w:r>
        <w:t xml:space="preserve">calculado sobre ele, em escala global, disponível no Merit-Hydro</w:t>
      </w:r>
      <w:r>
        <w:t xml:space="preserve"> </w:t>
      </w:r>
      <w:r>
        <w:t xml:space="preserve">(Yamazaki et al. 2019)</w:t>
      </w:r>
      <w:r>
        <w:t xml:space="preserve">. Essa camada de acúmulo de fluxo é corrigida para o efeito da densidade de árvores no cálculo da rede hidrográfica da região</w:t>
      </w:r>
      <w:r>
        <w:t xml:space="preserve"> </w:t>
      </w:r>
      <w:r>
        <w:t xml:space="preserve">(Yamazaki et al. 2019)</w:t>
      </w:r>
      <w:r>
        <w:t xml:space="preserve">, o que possibilita que nosso trabalho seja replicável e mais próximo da realidade dos biomas que modelamos.</w:t>
      </w:r>
    </w:p>
    <w:p>
      <w:pPr>
        <w:pStyle w:val="Textoindependiente"/>
      </w:pPr>
      <w:r>
        <w:t xml:space="preserve">Para complementar a superfície gerada pelo acúmulo de fluxo e definir a presença de</w:t>
      </w:r>
      <w:r>
        <w:t xml:space="preserve"> </w:t>
      </w:r>
      <w:r>
        <w:rPr>
          <w:bCs/>
          <w:b/>
        </w:rPr>
        <w:t xml:space="preserve">rios</w:t>
      </w:r>
      <w:r>
        <w:t xml:space="preserve"> </w:t>
      </w:r>
      <w:r>
        <w:t xml:space="preserve">e</w:t>
      </w:r>
      <w:r>
        <w:t xml:space="preserve"> </w:t>
      </w:r>
      <w:r>
        <w:rPr>
          <w:bCs/>
          <w:b/>
        </w:rPr>
        <w:t xml:space="preserve">lagos</w:t>
      </w:r>
      <w:r>
        <w:t xml:space="preserve"> </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21" w:name="índice-de-posição-topográfica-tpi"/>
    <w:p>
      <w:pPr>
        <w:pStyle w:val="Ttulo5"/>
      </w:pPr>
      <w:r>
        <w:t xml:space="preserve">Índice de posição topográfica (TPI)</w:t>
      </w:r>
    </w:p>
    <w:p>
      <w:pPr>
        <w:pStyle w:val="FirstParagraph"/>
      </w:pPr>
      <w:r>
        <w:t xml:space="preserve">O cálculo do TPI foi feito em três escalas com uma janela circular com 7, 11 e 15 células de raio, calculando a diferença da média de elevação entre a célula focal e um conjunto de células vizinhas (</w:t>
      </w:r>
      <m:oMath>
        <m:r>
          <m:t>i</m:t>
        </m:r>
      </m:oMath>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 índice é composto pela média de TPI das três escalas, o que permite a consideração de níveis locais e regional de resolução da paisagem</w:t>
      </w:r>
      <w:r>
        <w:t xml:space="preserve"> </w:t>
      </w:r>
      <w:r>
        <w:t xml:space="preserve">(Theobald et al. 2015)</w:t>
      </w:r>
      <w:r>
        <w:t xml:space="preserve">. Os tamanhos das janelas foram definidos visualmente para que melhor representassem as formas de relevo.</w:t>
      </w:r>
    </w:p>
    <w:bookmarkEnd w:id="21"/>
    <w:bookmarkStart w:id="22" w:name="orientação-do-relevo-aspect"/>
    <w:p>
      <w:pPr>
        <w:pStyle w:val="Ttulo5"/>
      </w:pPr>
      <w:r>
        <w:t xml:space="preserve">Orientação do relevo (</w:t>
      </w:r>
      <w:r>
        <w:rPr>
          <w:iCs/>
          <w:i/>
        </w:rPr>
        <w:t xml:space="preserve">aspect</w:t>
      </w:r>
      <w:r>
        <w:t xml:space="preserve">)</w:t>
      </w:r>
    </w:p>
    <w:p>
      <w:pPr>
        <w:pStyle w:val="FirstParagraph"/>
      </w:pPr>
      <w:r>
        <w:t xml:space="preserve">A orientação do relevo é calculado como um gradiente local das 4 células adjacentes. Os resultados são apresentados em graus, que representam a direção do relevo (0º = Norte, 90º = Leste, 180º = Sul e 270º = Oeste). Nós dividimos a orientação do relevo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22"/>
    <w:bookmarkStart w:id="23" w:name="inclinação-do-relevo-slope"/>
    <w:p>
      <w:pPr>
        <w:pStyle w:val="Ttulo5"/>
      </w:pPr>
      <w:r>
        <w:t xml:space="preserve">Inclinação do relevo (</w:t>
      </w:r>
      <w:r>
        <w:rPr>
          <w:iCs/>
          <w:i/>
        </w:rPr>
        <w:t xml:space="preserve">slope</w:t>
      </w:r>
      <w:r>
        <w:t xml:space="preserve">)</w:t>
      </w:r>
    </w:p>
    <w:p>
      <w:pPr>
        <w:pStyle w:val="FirstParagraph"/>
      </w:pPr>
      <w:r>
        <w:t xml:space="preserve">A inclinação do relevo é calculada como um gradiente local das 4 células adjacentes, os resultados são apresentado em graus que representam a inclinação do relevo (0º a 90º).</w:t>
      </w:r>
    </w:p>
    <w:bookmarkEnd w:id="23"/>
    <w:bookmarkStart w:id="24" w:name="índice-de-umidade-moisture-index"/>
    <w:p>
      <w:pPr>
        <w:pStyle w:val="Ttulo5"/>
      </w:pPr>
      <w:r>
        <w:t xml:space="preserve">Índice de umidade (</w:t>
      </w:r>
      <w:r>
        <w:rPr>
          <w:iCs/>
          <w:i/>
        </w:rPr>
        <w:t xml:space="preserve">moisture index</w:t>
      </w:r>
      <w:r>
        <w:t xml:space="preserv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uma janela circular de uma célula de raio determinado. O tamanho do raio foi escolhido visualmente para suavizar o índice, mas representando bem a distribuição dos cursos d’água.</w:t>
      </w:r>
    </w:p>
    <w:bookmarkEnd w:id="24"/>
    <w:bookmarkEnd w:id="25"/>
    <w:bookmarkStart w:id="31" w:name="transformando-os-índices-em-classes"/>
    <w:p>
      <w:pPr>
        <w:pStyle w:val="Ttulo4"/>
      </w:pPr>
      <w:r>
        <w:t xml:space="preserve">Transformando os índices em classes</w:t>
      </w:r>
    </w:p>
    <w:p>
      <w:pPr>
        <w:pStyle w:val="FirstParagraph"/>
      </w:pPr>
      <w:r>
        <w:t xml:space="preserve">Cada índice (TPI, inclinação, orientação e índice de úmidade) foi transformado em classes (</w:t>
      </w:r>
      <w:hyperlink w:anchor="tbl-classes">
        <w:r>
          <w:rPr>
            <w:rStyle w:val="Hipervnculo"/>
          </w:rPr>
          <w:t xml:space="preserve">Tabela 1</w:t>
        </w:r>
      </w:hyperlink>
      <w:r>
        <w:t xml:space="preserve">) para formarem os tipos de</w:t>
      </w:r>
      <w:r>
        <w:t xml:space="preserve"> </w:t>
      </w:r>
      <w:r>
        <w:rPr>
          <w:iCs/>
          <w:i/>
        </w:rPr>
        <w:t xml:space="preserve">landforms</w:t>
      </w:r>
      <w:r>
        <w:t xml:space="preserve">. O índice umidade é classificado como presença ou ausência de umidade, sendo locais com rios e lagos classificados como presença.</w:t>
      </w:r>
    </w:p>
    <w:bookmarkStart w:id="26" w:name="tbl-classes"/>
    <w:p>
      <w:pPr>
        <w:pStyle w:val="TableCaption"/>
      </w:pPr>
      <w:r>
        <w:t xml:space="preserve">Tabela 1: Classes dos índices usados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1: Classes dos índices usados para a classificação de landforms"/>
      </w:tblPr>
      <w:tblGrid>
        <w:gridCol w:w="1980"/>
        <w:gridCol w:w="1980"/>
        <w:gridCol w:w="1980"/>
        <w:gridCol w:w="1980"/>
      </w:tblGrid>
      <w:tr>
        <w:trPr>
          <w:tblHeader w:val="true"/>
        </w:trPr>
        <w:tc>
          <w:tcPr/>
          <w:p>
            <w:pPr>
              <w:pStyle w:val="Compact"/>
              <w:jc w:val="center"/>
            </w:pPr>
            <w:r>
              <w:t xml:space="preserve">Variáveis</w:t>
            </w:r>
          </w:p>
        </w:tc>
        <w:tc>
          <w:tcPr/>
          <w:p>
            <w:pPr>
              <w:pStyle w:val="Compact"/>
              <w:jc w:val="center"/>
            </w:pPr>
            <w:r>
              <w:t xml:space="preserve">Classes</w:t>
            </w:r>
          </w:p>
        </w:tc>
        <w:tc>
          <w:tcPr/>
          <w:p>
            <w:pPr>
              <w:pStyle w:val="Compact"/>
              <w:jc w:val="center"/>
            </w:pPr>
            <w:r>
              <w:t xml:space="preserve">Limiar inferior</w:t>
            </w:r>
          </w:p>
        </w:tc>
        <w:tc>
          <w:tcPr/>
          <w:p>
            <w:pPr>
              <w:pStyle w:val="Compact"/>
              <w:jc w:val="center"/>
            </w:pPr>
            <w:r>
              <w:t xml:space="preserve">Limiar superior</w:t>
            </w:r>
          </w:p>
        </w:tc>
      </w:tr>
      <w:tr>
        <w:tc>
          <w:tcPr/>
          <w:p>
            <w:pPr>
              <w:pStyle w:val="Compact"/>
              <w:jc w:val="center"/>
            </w:pPr>
            <w:r>
              <w:t xml:space="preserve">Inclinação do relevo</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Inclinação do relevo</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Inclinação do relevo</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24</w:t>
            </w:r>
          </w:p>
        </w:tc>
      </w:tr>
      <w:tr>
        <w:tc>
          <w:tcPr/>
          <w:p>
            <w:pPr>
              <w:pStyle w:val="Compact"/>
              <w:jc w:val="center"/>
            </w:pPr>
            <w:r>
              <w:t xml:space="preserve">Inclinação do relevo</w:t>
            </w:r>
          </w:p>
        </w:tc>
        <w:tc>
          <w:tcPr/>
          <w:p>
            <w:pPr>
              <w:pStyle w:val="Compact"/>
              <w:jc w:val="center"/>
            </w:pPr>
            <w:r>
              <w:t xml:space="preserve">4</w:t>
            </w:r>
          </w:p>
        </w:tc>
        <w:tc>
          <w:tcPr/>
          <w:p>
            <w:pPr>
              <w:pStyle w:val="Compact"/>
              <w:jc w:val="center"/>
            </w:pPr>
            <w:r>
              <w:t xml:space="preserve">24</w:t>
            </w:r>
          </w:p>
        </w:tc>
        <w:tc>
          <w:tcPr/>
          <w:p>
            <w:pPr>
              <w:pStyle w:val="Compact"/>
              <w:jc w:val="center"/>
            </w:pPr>
            <w:r>
              <w:t xml:space="preserve">35</w:t>
            </w:r>
          </w:p>
        </w:tc>
      </w:tr>
      <w:tr>
        <w:tc>
          <w:tcPr/>
          <w:p>
            <w:pPr>
              <w:pStyle w:val="Compact"/>
              <w:jc w:val="center"/>
            </w:pPr>
            <w:r>
              <w:t xml:space="preserve">Inclinação do relevo</w:t>
            </w:r>
          </w:p>
        </w:tc>
        <w:tc>
          <w:tcPr/>
          <w:p>
            <w:pPr>
              <w:pStyle w:val="Compact"/>
              <w:jc w:val="center"/>
            </w:pPr>
            <w:r>
              <w:t xml:space="preserve">5</w:t>
            </w:r>
          </w:p>
        </w:tc>
        <w:tc>
          <w:tcPr/>
          <w:p>
            <w:pPr>
              <w:pStyle w:val="Compact"/>
              <w:jc w:val="center"/>
            </w:pPr>
            <w:r>
              <w:t xml:space="preserve">35</w:t>
            </w:r>
          </w:p>
        </w:tc>
        <w:tc>
          <w:tcPr/>
          <w:p>
            <w:pPr>
              <w:pStyle w:val="Compact"/>
              <w:jc w:val="center"/>
            </w:pPr>
            <w:r>
              <w:t xml:space="preserve">90</w:t>
            </w:r>
          </w:p>
        </w:tc>
      </w:tr>
      <w:tr>
        <w:tc>
          <w:tcPr/>
          <w:p>
            <w:pPr>
              <w:pStyle w:val="Compact"/>
              <w:jc w:val="center"/>
            </w:pPr>
            <w:r>
              <w:t xml:space="preserve">TPI</w:t>
            </w:r>
          </w:p>
        </w:tc>
        <w:tc>
          <w:tcPr/>
          <w:p>
            <w:pPr>
              <w:pStyle w:val="Compact"/>
              <w:jc w:val="center"/>
            </w:pPr>
            <w:r>
              <w:t xml:space="preserve">1</w:t>
            </w:r>
          </w:p>
        </w:tc>
        <w:tc>
          <w:tcPr/>
          <w:p>
            <w:pPr>
              <w:pStyle w:val="Compact"/>
              <w:jc w:val="center"/>
            </w:pPr>
            <w:r>
              <w:t xml:space="preserve">-Inf</w:t>
            </w:r>
          </w:p>
        </w:tc>
        <w:tc>
          <w:tcPr/>
          <w:p>
            <w:pPr>
              <w:pStyle w:val="Compact"/>
              <w:jc w:val="center"/>
            </w:pPr>
            <w:r>
              <w:t xml:space="preserve">-15</w:t>
            </w:r>
          </w:p>
        </w:tc>
      </w:tr>
      <w:tr>
        <w:tc>
          <w:tcPr/>
          <w:p>
            <w:pPr>
              <w:pStyle w:val="Compact"/>
              <w:jc w:val="center"/>
            </w:pPr>
            <w:r>
              <w:t xml:space="preserve">TPI</w:t>
            </w:r>
          </w:p>
        </w:tc>
        <w:tc>
          <w:tcPr/>
          <w:p>
            <w:pPr>
              <w:pStyle w:val="Compact"/>
              <w:jc w:val="center"/>
            </w:pPr>
            <w:r>
              <w:t xml:space="preserve">2</w:t>
            </w:r>
          </w:p>
        </w:tc>
        <w:tc>
          <w:tcPr/>
          <w:p>
            <w:pPr>
              <w:pStyle w:val="Compact"/>
              <w:jc w:val="center"/>
            </w:pPr>
            <w:r>
              <w:t xml:space="preserve">-15</w:t>
            </w:r>
          </w:p>
        </w:tc>
        <w:tc>
          <w:tcPr/>
          <w:p>
            <w:pPr>
              <w:pStyle w:val="Compact"/>
              <w:jc w:val="center"/>
            </w:pPr>
            <w:r>
              <w:t xml:space="preserve">-1</w:t>
            </w:r>
          </w:p>
        </w:tc>
      </w:tr>
      <w:tr>
        <w:tc>
          <w:tcPr/>
          <w:p>
            <w:pPr>
              <w:pStyle w:val="Compact"/>
              <w:jc w:val="center"/>
            </w:pPr>
            <w:r>
              <w:t xml:space="preserve">TPI</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30</w:t>
            </w:r>
          </w:p>
        </w:tc>
      </w:tr>
      <w:tr>
        <w:tc>
          <w:tcPr/>
          <w:p>
            <w:pPr>
              <w:pStyle w:val="Compact"/>
              <w:jc w:val="center"/>
            </w:pPr>
            <w:r>
              <w:t xml:space="preserve">TPI</w:t>
            </w:r>
          </w:p>
        </w:tc>
        <w:tc>
          <w:tcPr/>
          <w:p>
            <w:pPr>
              <w:pStyle w:val="Compact"/>
              <w:jc w:val="center"/>
            </w:pPr>
            <w:r>
              <w:t xml:space="preserve">4</w:t>
            </w:r>
          </w:p>
        </w:tc>
        <w:tc>
          <w:tcPr/>
          <w:p>
            <w:pPr>
              <w:pStyle w:val="Compact"/>
              <w:jc w:val="center"/>
            </w:pPr>
            <w:r>
              <w:t xml:space="preserve">30</w:t>
            </w:r>
          </w:p>
        </w:tc>
        <w:tc>
          <w:tcPr/>
          <w:p>
            <w:pPr>
              <w:pStyle w:val="Compact"/>
              <w:jc w:val="center"/>
            </w:pPr>
            <w:r>
              <w:t xml:space="preserve">975</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90</w:t>
            </w:r>
          </w:p>
        </w:tc>
      </w:tr>
      <w:tr>
        <w:tc>
          <w:tcPr/>
          <w:p>
            <w:pPr>
              <w:pStyle w:val="Compact"/>
              <w:jc w:val="center"/>
            </w:pPr>
            <w:r>
              <w:t xml:space="preserve">Aspecto</w:t>
            </w:r>
          </w:p>
        </w:tc>
        <w:tc>
          <w:tcPr/>
          <w:p>
            <w:pPr>
              <w:pStyle w:val="Compact"/>
              <w:jc w:val="center"/>
            </w:pPr>
            <w:r>
              <w:t xml:space="preserve">1</w:t>
            </w:r>
          </w:p>
        </w:tc>
        <w:tc>
          <w:tcPr/>
          <w:p>
            <w:pPr>
              <w:pStyle w:val="Compact"/>
              <w:jc w:val="center"/>
            </w:pPr>
            <w:r>
              <w:t xml:space="preserve">90</w:t>
            </w:r>
          </w:p>
        </w:tc>
        <w:tc>
          <w:tcPr/>
          <w:p>
            <w:pPr>
              <w:pStyle w:val="Compact"/>
              <w:jc w:val="center"/>
            </w:pPr>
            <w:r>
              <w:t xml:space="preserve">270</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270</w:t>
            </w:r>
          </w:p>
        </w:tc>
        <w:tc>
          <w:tcPr/>
          <w:p>
            <w:pPr>
              <w:pStyle w:val="Compact"/>
              <w:jc w:val="center"/>
            </w:pPr>
            <w:r>
              <w:t xml:space="preserve">360</w:t>
            </w:r>
          </w:p>
        </w:tc>
      </w:tr>
      <w:tr>
        <w:tc>
          <w:tcPr/>
          <w:p>
            <w:pPr>
              <w:pStyle w:val="Compact"/>
              <w:jc w:val="center"/>
            </w:pPr>
            <w:r>
              <w:t xml:space="preserve">Índice de Umidade</w:t>
            </w:r>
          </w:p>
        </w:tc>
        <w:tc>
          <w:tcPr/>
          <w:p>
            <w:pPr>
              <w:pStyle w:val="Compact"/>
              <w:jc w:val="center"/>
            </w:pPr>
            <w:r>
              <w:t xml:space="preserve">0</w:t>
            </w:r>
          </w:p>
        </w:tc>
        <w:tc>
          <w:tcPr/>
          <w:p>
            <w:pPr>
              <w:pStyle w:val="Compact"/>
              <w:jc w:val="center"/>
            </w:pPr>
            <w:r>
              <w:t xml:space="preserve">-Inf</w:t>
            </w:r>
          </w:p>
        </w:tc>
        <w:tc>
          <w:tcPr/>
          <w:p>
            <w:pPr>
              <w:pStyle w:val="Compact"/>
              <w:jc w:val="center"/>
            </w:pPr>
            <w:r>
              <w:t xml:space="preserve">30000</w:t>
            </w:r>
          </w:p>
        </w:tc>
      </w:tr>
      <w:tr>
        <w:tc>
          <w:tcPr/>
          <w:p>
            <w:pPr>
              <w:pStyle w:val="Compact"/>
              <w:jc w:val="center"/>
            </w:pPr>
            <w:r>
              <w:t xml:space="preserve">Índice de Umidade</w:t>
            </w:r>
          </w:p>
        </w:tc>
        <w:tc>
          <w:tcPr/>
          <w:p>
            <w:pPr>
              <w:pStyle w:val="Compact"/>
              <w:jc w:val="center"/>
            </w:pPr>
            <w:r>
              <w:t xml:space="preserve">1</w:t>
            </w:r>
          </w:p>
        </w:tc>
        <w:tc>
          <w:tcPr/>
          <w:p>
            <w:pPr>
              <w:pStyle w:val="Compact"/>
              <w:jc w:val="center"/>
            </w:pPr>
            <w:r>
              <w:t xml:space="preserve">3000</w:t>
            </w:r>
          </w:p>
        </w:tc>
        <w:tc>
          <w:tcPr/>
          <w:p>
            <w:pPr>
              <w:pStyle w:val="Compact"/>
              <w:jc w:val="center"/>
            </w:pPr>
            <w:r>
              <w:t xml:space="preserve">Inf</w:t>
            </w:r>
          </w:p>
        </w:tc>
      </w:tr>
    </w:tbl>
    <w:bookmarkEnd w:id="26"/>
    <w:bookmarkStart w:id="29" w:name="Xc395ed541921af744c68b4a218ac9d27479a7a0"/>
    <w:p>
      <w:pPr>
        <w:pStyle w:val="Ttulo5"/>
      </w:pPr>
      <w:r>
        <w:t xml:space="preserve">Combinando as variáveis e classificando as</w:t>
      </w:r>
      <w:r>
        <w:t xml:space="preserve"> </w:t>
      </w:r>
      <w:r>
        <w:rPr>
          <w:iCs/>
          <w:i/>
        </w:rPr>
        <w:t xml:space="preserve">landforms</w:t>
      </w:r>
    </w:p>
    <w:p>
      <w:pPr>
        <w:pStyle w:val="FirstParagraph"/>
      </w:pPr>
      <w:r>
        <w:t xml:space="preserve">A partir das classificações de todas as variáveis, geramos um código representativo das combinações de classificações das localidades. A classe do índices de umidade é multiĺicado por 1000, orientação do relevo por 100, TPI por 10 e inclinação do relevo por 1. Dessa forma, podemos representar as classes dos índices de uma localidade por um único número. 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visualmente para classificar alguns tipos de</w:t>
      </w:r>
      <w:r>
        <w:t xml:space="preserve"> </w:t>
      </w:r>
      <w:r>
        <w:rPr>
          <w:iCs/>
          <w:i/>
        </w:rPr>
        <w:t xml:space="preserve">landforms</w:t>
      </w:r>
      <w:r>
        <w:t xml:space="preserve">, como</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r>
        <w:t xml:space="preserve">(</w:t>
      </w:r>
      <w:hyperlink w:anchor="tbl-combinacoes">
        <w:r>
          <w:rPr>
            <w:rStyle w:val="Hipervnculo"/>
          </w:rPr>
          <w:t xml:space="preserve">Tabela 2</w:t>
        </w:r>
      </w:hyperlink>
      <w:r>
        <w:t xml:space="preserve">).</w:t>
      </w:r>
    </w:p>
    <w:bookmarkStart w:id="27" w:name="tbl-combinacoes"/>
    <w:p>
      <w:pPr>
        <w:pStyle w:val="TableCaption"/>
      </w:pPr>
      <w:r>
        <w:t xml:space="preserve">Tabela 2: Combinações entre as variáveis para classificar as formas de relevo</w:t>
      </w:r>
    </w:p>
    <w:tbl>
      <w:tblPr>
        <w:tblStyle w:val="Table"/>
        <w:tblW w:type="auto" w:w="0"/>
        <w:tblLook w:firstRow="1" w:lastRow="0" w:firstColumn="0" w:lastColumn="0" w:noHBand="0" w:noVBand="0" w:val="0020"/>
        <w:jc w:val="start"/>
        <w:tblCaption w:val="Tabela 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27"/>
    <w:p>
      <w:pPr>
        <w:pStyle w:val="Textoindependiente"/>
      </w:pPr>
      <w:r>
        <w:t xml:space="preserve">A classificação final de landforms se encontra na</w:t>
      </w:r>
      <w:r>
        <w:t xml:space="preserve"> </w:t>
      </w:r>
      <w:hyperlink w:anchor="tbl-landforms">
        <w:r>
          <w:rPr>
            <w:rStyle w:val="Hipervnculo"/>
          </w:rPr>
          <w:t xml:space="preserve">Tabela 3</w:t>
        </w:r>
      </w:hyperlink>
      <w:r>
        <w:t xml:space="preserve">.</w:t>
      </w:r>
    </w:p>
    <w:bookmarkStart w:id="28" w:name="tbl-landforms"/>
    <w:p>
      <w:pPr>
        <w:pStyle w:val="TableCaption"/>
      </w:pPr>
      <w:r>
        <w:t xml:space="preserve">Tabela 3: Códigos das formas de relevo obtidas após classificação das variáveis</w:t>
      </w:r>
    </w:p>
    <w:tbl>
      <w:tblPr>
        <w:tblStyle w:val="Table"/>
        <w:tblW w:type="auto" w:w="0"/>
        <w:tblLook w:firstRow="1" w:lastRow="0" w:firstColumn="0" w:lastColumn="0" w:noHBand="0" w:noVBand="0" w:val="0020"/>
        <w:jc w:val="start"/>
        <w:tblCaption w:val="Tabela 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28"/>
    <w:bookmarkEnd w:id="29"/>
    <w:bookmarkStart w:id="30" w:name="gerando-a-variedade-de-landforms"/>
    <w:p>
      <w:pPr>
        <w:pStyle w:val="Ttulo5"/>
      </w:pPr>
      <w:r>
        <w:t xml:space="preserve">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quantidade de tipos de</w:t>
      </w:r>
      <w:r>
        <w:t xml:space="preserve"> </w:t>
      </w:r>
      <w:r>
        <w:rPr>
          <w:iCs/>
          <w:i/>
        </w:rPr>
        <w:t xml:space="preserve">landforms</w:t>
      </w:r>
      <w:r>
        <w:t xml:space="preserve"> </w:t>
      </w:r>
      <w:r>
        <w:t xml:space="preserve">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30"/>
    <w:bookmarkEnd w:id="31"/>
    <w:bookmarkStart w:id="32" w:name="amplitude-altitudinal"/>
    <w:p>
      <w:pPr>
        <w:pStyle w:val="Ttulo4"/>
      </w:pPr>
      <w:r>
        <w:t xml:space="preserve">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32"/>
    <w:bookmarkStart w:id="33" w:name="índice-de-áreas-úmidas"/>
    <w:p>
      <w:pPr>
        <w:pStyle w:val="Ttulo4"/>
      </w:pPr>
      <w:r>
        <w:t xml:space="preserve">Índice de áreas úmidas</w:t>
      </w:r>
    </w:p>
    <w:p>
      <w:pPr>
        <w:pStyle w:val="FirstParagraph"/>
      </w:pPr>
      <w:r>
        <w:t xml:space="preserve">Para calcular o índice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úmidas,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quantidades de áreas úmidas, mas em baixa densidade.</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33"/>
    <w:bookmarkStart w:id="35" w:name="diversidade-de-solo"/>
    <w:p>
      <w:pPr>
        <w:pStyle w:val="Ttulo4"/>
      </w:pPr>
      <w:r>
        <w:t xml:space="preserve">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w:t>
      </w:r>
      <w:r>
        <w:t xml:space="preserve"> </w:t>
      </w:r>
      <w:hyperlink r:id="rId34">
        <w:r>
          <w:rPr>
            <w:rStyle w:val="Hipervnculo"/>
          </w:rPr>
          <w:t xml:space="preserve">Instituto Brasileiro de Geografica e Estatística (IBGE)</w:t>
        </w:r>
      </w:hyperlink>
      <w:r>
        <w:t xml:space="preserv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35"/>
    <w:bookmarkStart w:id="53" w:name="diversidade-da-paisagem-1"/>
    <w:p>
      <w:pPr>
        <w:pStyle w:val="Ttulo4"/>
      </w:pPr>
      <w:r>
        <w:t xml:space="preserve">Diversidade da paisagem</w:t>
      </w:r>
    </w:p>
    <w:p>
      <w:pPr>
        <w:pStyle w:val="FirstParagraph"/>
      </w:pPr>
      <w:r>
        <w:t xml:space="preserve">A diversidade da paisagem é calculada pela média dos maiores valores de</w:t>
      </w:r>
      <w:r>
        <w:t xml:space="preserve"> </w:t>
      </w:r>
      <m:oMath>
        <m:r>
          <m:t>Z</m:t>
        </m:r>
      </m:oMath>
      <w:r>
        <w:t xml:space="preserve"> </w:t>
      </w:r>
      <w:r>
        <w:t xml:space="preserve">entre</w:t>
      </w:r>
      <w:r>
        <w:t xml:space="preserve"> </w:t>
      </w:r>
      <w:r>
        <w:rPr>
          <w:bCs/>
          <w:b/>
        </w:rPr>
        <w:t xml:space="preserve">variedades de landforms</w:t>
      </w:r>
      <w:r>
        <w:t xml:space="preserve"> </w:t>
      </w:r>
      <w:r>
        <w:t xml:space="preserve">(</w:t>
      </w:r>
      <m:oMath>
        <m:sSub>
          <m:e>
            <m:r>
              <m:t>Z</m:t>
            </m:r>
          </m:e>
          <m:sub>
            <m:r>
              <m:t>d</m:t>
            </m:r>
            <m:r>
              <m:t>i</m:t>
            </m:r>
            <m:r>
              <m:t>v</m:t>
            </m:r>
            <m:r>
              <m:t>e</m:t>
            </m:r>
            <m:r>
              <m:t>r</m:t>
            </m:r>
            <m:r>
              <m:t>s</m:t>
            </m:r>
            <m:r>
              <m:t>i</m:t>
            </m:r>
            <m:r>
              <m:t>d</m:t>
            </m:r>
            <m:r>
              <m:t>a</m:t>
            </m:r>
            <m:r>
              <m:t>d</m:t>
            </m:r>
            <m:r>
              <m:t>e</m:t>
            </m:r>
          </m:sub>
        </m:sSub>
      </m:oMath>
      <w:r>
        <w:t xml:space="preserve">),</w:t>
      </w:r>
      <w:r>
        <w:t xml:space="preserve"> </w:t>
      </w:r>
      <w:r>
        <w:rPr>
          <w:bCs/>
          <w:b/>
        </w:rPr>
        <w:t xml:space="preserve">amplitude de elevação</w:t>
      </w:r>
      <w:r>
        <w:t xml:space="preserve"> </w:t>
      </w:r>
      <w:r>
        <w:t xml:space="preserve">(</w:t>
      </w:r>
      <m:oMath>
        <m:sSub>
          <m:e>
            <m:r>
              <m:t>Z</m:t>
            </m:r>
          </m:e>
          <m:sub>
            <m:r>
              <m:t>e</m:t>
            </m:r>
            <m:r>
              <m:t>l</m:t>
            </m:r>
            <m:r>
              <m:t>e</m:t>
            </m:r>
            <m:r>
              <m:t>v</m:t>
            </m:r>
            <m:r>
              <m:t>a</m:t>
            </m:r>
            <m:r>
              <m:t>ç</m:t>
            </m:r>
            <m:r>
              <m:t>ã</m:t>
            </m:r>
            <m:r>
              <m:t>o</m:t>
            </m:r>
          </m:sub>
        </m:sSub>
      </m:oMath>
      <w:r>
        <w:t xml:space="preserve">),</w:t>
      </w:r>
      <w:r>
        <w:t xml:space="preserve"> </w:t>
      </w:r>
      <w:r>
        <w:rPr>
          <w:bCs/>
          <w:b/>
        </w:rPr>
        <w:t xml:space="preserve">índice de áreas úmidas</w:t>
      </w:r>
      <w:r>
        <w:t xml:space="preserve"> </w:t>
      </w:r>
      <w:r>
        <w:t xml:space="preserve">(</w:t>
      </w:r>
      <m:oMath>
        <m:sSub>
          <m:e>
            <m:r>
              <m:t>Z</m:t>
            </m:r>
          </m:e>
          <m:sub>
            <m:r>
              <m:t>ú</m:t>
            </m:r>
            <m:r>
              <m:t>m</m:t>
            </m:r>
            <m:r>
              <m:t>i</m:t>
            </m:r>
            <m:r>
              <m:t>d</m:t>
            </m:r>
            <m:r>
              <m:t>a</m:t>
            </m:r>
            <m:r>
              <m:t>s</m:t>
            </m:r>
          </m:sub>
        </m:sSub>
      </m:oMath>
      <w:r>
        <w:t xml:space="preserve">) e</w:t>
      </w:r>
      <w:r>
        <w:t xml:space="preserve"> </w:t>
      </w:r>
      <w:r>
        <w:rPr>
          <w:bCs/>
          <w:b/>
        </w:rPr>
        <w:t xml:space="preserve">diversidade de solo</w:t>
      </w:r>
      <w:r>
        <w:t xml:space="preserve"> </w:t>
      </w:r>
      <w:r>
        <w:t xml:space="preserve">(</w:t>
      </w:r>
      <m:oMath>
        <m:sSub>
          <m:e>
            <m:r>
              <m:t>Z</m:t>
            </m:r>
          </m:e>
          <m:sub>
            <m:r>
              <m:t>s</m:t>
            </m:r>
            <m:r>
              <m:t>o</m:t>
            </m:r>
            <m:r>
              <m:t>l</m:t>
            </m:r>
            <m:r>
              <m:t>o</m:t>
            </m:r>
            <m:r>
              <m:t>s</m:t>
            </m:r>
          </m:sub>
        </m:sSub>
      </m:oMath>
      <w:r>
        <w:t xml:space="preserve">). Começamos assumindo que a diversidade da paisagem seja igual a variedade de</w:t>
      </w:r>
      <w:r>
        <w:t xml:space="preserve"> </w:t>
      </w:r>
      <w:r>
        <w:rPr>
          <w:iCs/>
          <w:i/>
        </w:rPr>
        <w:t xml:space="preserve">landforms</w:t>
      </w:r>
      <w:r>
        <w:t xml:space="preserve"> </w:t>
      </w:r>
      <w:r>
        <w:t xml:space="preserve">nos locais onde os valores de amplitude de elevação sejam maiores que a variedade de</w:t>
      </w:r>
      <w:r>
        <w:t xml:space="preserve"> </w:t>
      </w:r>
      <w:r>
        <w:rPr>
          <w:iCs/>
          <w:i/>
        </w:rPr>
        <w:t xml:space="preserve">landforms</w:t>
      </w:r>
      <w:r>
        <w:t xml:space="preserve"> </w:t>
      </w:r>
      <w:r>
        <w:t xml:space="preserve">a diversidade da paisagem é calculada como a média entre os valores de</w:t>
      </w:r>
      <w:r>
        <w:t xml:space="preserve"> </w:t>
      </w:r>
      <m:oMath>
        <m:r>
          <m:t>Z</m:t>
        </m:r>
      </m:oMath>
      <w:r>
        <w:t xml:space="preserve"> </w:t>
      </w:r>
      <w:r>
        <w:t xml:space="preserve">das duas camadas, com maior peso dado para a camada de variedade de landforms, conforme a fórmula a seguir.</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num>
            <m:den>
              <m:r>
                <m:t>3</m:t>
              </m:r>
            </m:den>
          </m:f>
        </m:oMath>
      </m:oMathPara>
    </w:p>
    <w:p>
      <w:pPr>
        <w:pStyle w:val="FirstParagraph"/>
      </w:pPr>
      <w:r>
        <w:t xml:space="preserve">Depois comparamos os valores desse</w:t>
      </w:r>
      <w:r>
        <w:t xml:space="preserve"> </w:t>
      </w:r>
      <m:oMath>
        <m:r>
          <m:t>Z</m:t>
        </m:r>
      </m:oMath>
      <w:r>
        <w:t xml:space="preserve"> </w:t>
      </w:r>
      <w:r>
        <w:t xml:space="preserve">com a camada do índice de áreas úmidas e nas áreas onde esses valores sejam maiores substituímos pelo valor do índice de áreas úmidas. Portanto em regiões onde os valores de áreas úmidas são maiores eles substituem os valores de</w:t>
      </w:r>
      <w:r>
        <w:t xml:space="preserve"> </w:t>
      </w:r>
      <m:oMath>
        <m:r>
          <m:t>Z</m:t>
        </m:r>
      </m:oMath>
      <w:r>
        <w:t xml:space="preserve"> </w:t>
      </w:r>
      <w:r>
        <w:t xml:space="preserve">nesses</w:t>
      </w:r>
      <w:r>
        <w:t xml:space="preserve"> </w:t>
      </w:r>
      <w:r>
        <w:rPr>
          <w:iCs/>
          <w:i/>
        </w:rPr>
        <w:t xml:space="preserve">pixels</w:t>
      </w:r>
      <w:r>
        <w:t xml:space="preserve">.</w:t>
      </w:r>
    </w:p>
    <w:p>
      <w:pPr>
        <w:pStyle w:val="Textoindependiente"/>
      </w:pPr>
      <w:r>
        <w:t xml:space="preserve">Na localidades onde a diversidade de solo é maior que a diversidade da paisagem, os valores são substituídos pela média ponderada das variáveis naquela localidade</w:t>
      </w:r>
      <w:r>
        <w:t xml:space="preserve"> </w:t>
      </w:r>
      <w:r>
        <w:t xml:space="preserve">Nas localidades onde a diversidade do solo for maior que a diversidade da paisagem calculada até aqui, vamos substituir os valores pela média ponderada entre todas as outras camadas, dependendo de quais camadas apresentam maiores valores.</w:t>
      </w:r>
    </w:p>
    <w:p>
      <w:pPr>
        <w:pStyle w:val="Textoindependiente"/>
      </w:pPr>
      <w:r>
        <w:t xml:space="preserve">Se os valores da diversidade forem menores que os valores de</w:t>
      </w:r>
      <w:r>
        <w:t xml:space="preserve"> </w:t>
      </w:r>
      <w:r>
        <w:rPr>
          <w:iCs/>
          <w:i/>
        </w:rPr>
        <w:t xml:space="preserve">landforms</w:t>
      </w:r>
      <w:r>
        <w:t xml:space="preserve">, amplitude de elevação, índice de áreas úmidas e diversidade de solo somamos todos os valores de</w:t>
      </w:r>
      <w:r>
        <w:t xml:space="preserve"> </w:t>
      </w:r>
      <m:oMath>
        <m:r>
          <m:t>Z</m:t>
        </m:r>
      </m:oMath>
      <w:r>
        <w:t xml:space="preserve">, dobrando os valores de</w:t>
      </w:r>
      <w:r>
        <w:t xml:space="preserve"> </w:t>
      </w:r>
      <w:r>
        <w:rPr>
          <w:iCs/>
          <w:i/>
        </w:rPr>
        <w:t xml:space="preserve">landforms</w:t>
      </w:r>
      <w:r>
        <w:t xml:space="preserve"> </w:t>
      </w:r>
      <w:r>
        <w:t xml:space="preserve">e dividimos por 5.</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ú</m:t>
                  </m:r>
                  <m:r>
                    <m:t>m</m:t>
                  </m:r>
                  <m:r>
                    <m:t>i</m:t>
                  </m:r>
                  <m:r>
                    <m:t>d</m:t>
                  </m:r>
                  <m:r>
                    <m:t>a</m:t>
                  </m:r>
                  <m:r>
                    <m:t>s</m:t>
                  </m:r>
                </m:sub>
              </m:sSub>
              <m:r>
                <m:rPr>
                  <m:sty m:val="p"/>
                </m:rPr>
                <m:t>+</m:t>
              </m:r>
              <m:sSub>
                <m:e>
                  <m:r>
                    <m:t>Z</m:t>
                  </m:r>
                </m:e>
                <m:sub>
                  <m:r>
                    <m:t>s</m:t>
                  </m:r>
                  <m:r>
                    <m:t>o</m:t>
                  </m:r>
                  <m:r>
                    <m:t>l</m:t>
                  </m:r>
                  <m:r>
                    <m:t>o</m:t>
                  </m:r>
                  <m:r>
                    <m:t>s</m:t>
                  </m:r>
                </m:sub>
              </m:sSub>
            </m:num>
            <m:den>
              <m:r>
                <m:t>5</m:t>
              </m:r>
            </m:den>
          </m:f>
        </m:oMath>
      </m:oMathPara>
    </w:p>
    <w:p>
      <w:pPr>
        <w:pStyle w:val="FirstParagraph"/>
      </w:pPr>
      <w:r>
        <w:t xml:space="preserve">Se os valores de diversidade forem menores que variedade de</w:t>
      </w:r>
      <w:r>
        <w:t xml:space="preserve"> </w:t>
      </w:r>
      <w:r>
        <w:rPr>
          <w:iCs/>
          <w:i/>
        </w:rPr>
        <w:t xml:space="preserve">landforms</w:t>
      </w:r>
      <w:r>
        <w:t xml:space="preserve"> </w:t>
      </w:r>
      <w:r>
        <w:t xml:space="preserve">elevação e diversidade de solos, mas forem maiores que o índice de áreas úmidas somamos os valores das 3 camadas, dobrando os valores para</w:t>
      </w:r>
      <w:r>
        <w:t xml:space="preserve"> </w:t>
      </w:r>
      <w:r>
        <w:rPr>
          <w:iCs/>
          <w:i/>
        </w:rPr>
        <w:t xml:space="preserve">landforms</w:t>
      </w:r>
      <w:r>
        <w:t xml:space="preserve"> </w:t>
      </w:r>
      <w:r>
        <w:t xml:space="preserve">e dividimos por 4.</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s</m:t>
                  </m:r>
                  <m:r>
                    <m:t>o</m:t>
                  </m:r>
                  <m:r>
                    <m:t>l</m:t>
                  </m:r>
                  <m:r>
                    <m:t>o</m:t>
                  </m:r>
                  <m:r>
                    <m:t>s</m:t>
                  </m:r>
                </m:sub>
              </m:sSub>
            </m:num>
            <m:den>
              <m:r>
                <m:t>4</m:t>
              </m:r>
            </m:den>
          </m:f>
        </m:oMath>
      </m:oMathPara>
    </w:p>
    <w:p>
      <w:pPr>
        <w:pStyle w:val="FirstParagraph"/>
      </w:pPr>
      <w:r>
        <w:t xml:space="preserve">Se os valores de diversidade forem menos que</w:t>
      </w:r>
      <w:r>
        <w:t xml:space="preserve"> </w:t>
      </w:r>
      <w:r>
        <w:rPr>
          <w:iCs/>
          <w:i/>
        </w:rPr>
        <w:t xml:space="preserve">landforms</w:t>
      </w:r>
      <w:r>
        <w:t xml:space="preserve">, índices de áreas úmidas e amplitude de elevação, somamos os valores das 3 camadas, dobrando os valores de</w:t>
      </w:r>
      <w:r>
        <w:t xml:space="preserve"> </w:t>
      </w:r>
      <w:r>
        <w:rPr>
          <w:iCs/>
          <w:i/>
        </w:rPr>
        <w:t xml:space="preserve">landforms</w:t>
      </w:r>
      <w:r>
        <w:t xml:space="preserve"> </w:t>
      </w:r>
      <w:r>
        <w:t xml:space="preserve">e dividimos por 4.</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ú</m:t>
                  </m:r>
                  <m:r>
                    <m:t>m</m:t>
                  </m:r>
                  <m:r>
                    <m:t>i</m:t>
                  </m:r>
                  <m:r>
                    <m:t>d</m:t>
                  </m:r>
                  <m:r>
                    <m:t>a</m:t>
                  </m:r>
                  <m:r>
                    <m:t>s</m:t>
                  </m:r>
                </m:sub>
              </m:sSub>
            </m:num>
            <m:den>
              <m:r>
                <m:t>4</m:t>
              </m:r>
            </m:den>
          </m:f>
        </m:oMath>
      </m:oMathPara>
    </w:p>
    <w:p>
      <w:pPr>
        <w:pStyle w:val="FirstParagraph"/>
      </w:pPr>
      <w:r>
        <w:t xml:space="preserve">Se os valores de diversidade forem menores que variedade de</w:t>
      </w:r>
      <w:r>
        <w:t xml:space="preserve"> </w:t>
      </w:r>
      <w:r>
        <w:rPr>
          <w:iCs/>
          <w:i/>
        </w:rPr>
        <w:t xml:space="preserve">landforms</w:t>
      </w:r>
      <w:r>
        <w:t xml:space="preserve"> </w:t>
      </w:r>
      <w:r>
        <w:t xml:space="preserve">e diversidade de solo, somamos os valores das camadas, dobrando os valores de</w:t>
      </w:r>
      <w:r>
        <w:t xml:space="preserve"> </w:t>
      </w:r>
      <w:r>
        <w:rPr>
          <w:iCs/>
          <w:i/>
        </w:rPr>
        <w:t xml:space="preserve">landforms</w:t>
      </w:r>
      <w:r>
        <w:t xml:space="preserve"> </w:t>
      </w:r>
      <w:r>
        <w:t xml:space="preserve">e dividimos por 3.</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s</m:t>
                  </m:r>
                  <m:r>
                    <m:t>o</m:t>
                  </m:r>
                  <m:r>
                    <m:t>l</m:t>
                  </m:r>
                  <m:r>
                    <m:t>o</m:t>
                  </m:r>
                  <m:r>
                    <m:t>s</m:t>
                  </m:r>
                </m:sub>
              </m:sSub>
            </m:num>
            <m:den>
              <m:r>
                <m:t>3</m:t>
              </m:r>
            </m:den>
          </m:f>
        </m:oMath>
      </m:oMathPara>
    </w:p>
    <w:p>
      <w:pPr>
        <w:pStyle w:val="FirstParagraph"/>
      </w:pPr>
      <w:r>
        <w:t xml:space="preserve">Agora os valores de diversidade de paisagem já contém toda a variação das camadas de</w:t>
      </w:r>
      <w:r>
        <w:t xml:space="preserve"> </w:t>
      </w:r>
      <m:oMath>
        <m:r>
          <m:t>Z</m:t>
        </m:r>
      </m:oMath>
      <w:r>
        <w:t xml:space="preserve"> </w:t>
      </w:r>
      <w:r>
        <w:t xml:space="preserve">que calculamos anteriormente, como temos uma grande variação dos valores fazemos um truncamento dos valores da diversidade maiores e menores que 95% da distribuição dos dados. Esse truncamento foi feito para suavizar a imagem final de diversidade e remover valores</w:t>
      </w:r>
      <w:r>
        <w:t xml:space="preserve"> </w:t>
      </w:r>
      <w:r>
        <w:rPr>
          <w:iCs/>
          <w:i/>
        </w:rPr>
        <w:t xml:space="preserve">outliers</w:t>
      </w:r>
      <w:r>
        <w:t xml:space="preserve"> </w:t>
      </w:r>
      <w:r>
        <w:t xml:space="preserve">que possam influenciar o cálculo da</w:t>
      </w:r>
      <w:r>
        <w:t xml:space="preserve"> </w:t>
      </w:r>
      <w:hyperlink w:anchor="X29eeab9ab0de43df124e8398aa33595e4e2b412">
        <w:r>
          <w:rPr>
            <w:rStyle w:val="Hipervnculo"/>
            <w:bCs/>
            <w:b/>
          </w:rPr>
          <w:t xml:space="preserve">Resiliência da Paisagem</w:t>
        </w:r>
      </w:hyperlink>
      <w:r>
        <w:t xml:space="preserve">. Para essa suavização, calculamos a distribuição dos dados e todo valor de</w:t>
      </w:r>
      <w:r>
        <w:t xml:space="preserve"> </w:t>
      </w:r>
      <w:r>
        <w:rPr>
          <w:iCs/>
          <w:i/>
        </w:rPr>
        <w:t xml:space="preserve">pixel</w:t>
      </w:r>
      <w:r>
        <w:t xml:space="preserve"> </w:t>
      </w:r>
      <w:r>
        <w:t xml:space="preserve">fora de 95% da distribuição foi substituido pelos valores de máximo e mínimo da distribuição.</w:t>
      </w:r>
    </w:p>
    <w:bookmarkStart w:id="52" w:name="refs"/>
    <w:bookmarkStart w:id="37" w:name="ref-anderson_resilient_2023"/>
    <w:p>
      <w:pPr>
        <w:pStyle w:val="Bibliografa"/>
      </w:pPr>
      <w:r>
        <w:t xml:space="preserve">Anderson, M. G., M. Clark, A. P. Olivero, A. R. Barnett, K. R. Hall, M. W. Cornett, M. Ahlering, M. Schindel, B. Unnasch, C. Schloss, e D. R. Cameron. 2023.</w:t>
      </w:r>
      <w:r>
        <w:t xml:space="preserve"> </w:t>
      </w:r>
      <w:hyperlink r:id="rId36">
        <w:r>
          <w:rPr>
            <w:rStyle w:val="Hipervnculo"/>
          </w:rPr>
          <w:t xml:space="preserve">A Resilient and Connected Network of Sites to Sustain Biodiversity under a Changing Climate</w:t>
        </w:r>
      </w:hyperlink>
      <w:r>
        <w:t xml:space="preserve">. Proceedings of the National Academy of Sciences 120:e2204434119.</w:t>
      </w:r>
    </w:p>
    <w:bookmarkEnd w:id="37"/>
    <w:bookmarkStart w:id="39" w:name="ref-anderson_estimating_2014"/>
    <w:p>
      <w:pPr>
        <w:pStyle w:val="Bibliografa"/>
      </w:pPr>
      <w:r>
        <w:t xml:space="preserve">Anderson, M. G., M. Clark, e A. O. Sheldon. 2014.</w:t>
      </w:r>
      <w:r>
        <w:t xml:space="preserve"> </w:t>
      </w:r>
      <w:hyperlink r:id="rId3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39"/>
    <w:bookmarkStart w:id="40" w:name="ref-anderson_resilient_2016"/>
    <w:p>
      <w:pPr>
        <w:pStyle w:val="Bibliografa"/>
      </w:pPr>
      <w:r>
        <w:t xml:space="preserve">Anderson, M. G., M. Clark, e A. O. Sheldon. 2016.</w:t>
      </w:r>
      <w:r>
        <w:t xml:space="preserve"> </w:t>
      </w:r>
      <w:hyperlink r:id="rId3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40"/>
    <w:bookmarkStart w:id="42" w:name="ref-gorelick_google_2017"/>
    <w:p>
      <w:pPr>
        <w:pStyle w:val="Bibliografa"/>
      </w:pPr>
      <w:r>
        <w:t xml:space="preserve">Gorelick, N., M. Hancher, M. Dixon, S. Ilyushchenko, D. Thau, e R. Moore. 2017.</w:t>
      </w:r>
      <w:r>
        <w:t xml:space="preserve"> </w:t>
      </w:r>
      <w:hyperlink r:id="rId41">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42"/>
    <w:bookmarkStart w:id="44" w:name="ref-gumbricht_tropical_2017"/>
    <w:p>
      <w:pPr>
        <w:pStyle w:val="Bibliografa"/>
      </w:pPr>
      <w:r>
        <w:t xml:space="preserve">Gumbricht, T., R. M. Román-Cuesta, L. V. Verchot, M. Herold, F. Wittmann, E. Householder, N. Herold, e D. Murdiyarso. 2017.</w:t>
      </w:r>
      <w:r>
        <w:t xml:space="preserve"> </w:t>
      </w:r>
      <w:hyperlink r:id="rId43">
        <w:r>
          <w:rPr>
            <w:rStyle w:val="Hipervnculo"/>
          </w:rPr>
          <w:t xml:space="preserve">Tropical and Subtropical Wetlands Distribution Version 2</w:t>
        </w:r>
      </w:hyperlink>
      <w:r>
        <w:t xml:space="preserve">.</w:t>
      </w:r>
    </w:p>
    <w:bookmarkEnd w:id="44"/>
    <w:bookmarkStart w:id="45"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45"/>
    <w:bookmarkStart w:id="47" w:name="ref-theobald_ecologically-relevant_2015"/>
    <w:p>
      <w:pPr>
        <w:pStyle w:val="Bibliografa"/>
      </w:pPr>
      <w:r>
        <w:t xml:space="preserve">Theobald, D. M., D. Harrison-Atlas, W. B. Monahan, e C. M. Albano. 2015.</w:t>
      </w:r>
      <w:r>
        <w:t xml:space="preserve"> </w:t>
      </w:r>
      <w:hyperlink r:id="rId46">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47"/>
    <w:bookmarkStart w:id="49" w:name="ref-yamazaki_merit_2019"/>
    <w:p>
      <w:pPr>
        <w:pStyle w:val="Bibliografa"/>
      </w:pPr>
      <w:r>
        <w:t xml:space="preserve">Yamazaki, D., D. Ikeshima, J. Sosa, P. D. Bates, G. H. Allen, e T. M. Pavelsky. 2019.</w:t>
      </w:r>
      <w:r>
        <w:t xml:space="preserve"> </w:t>
      </w:r>
      <w:hyperlink r:id="rId48">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49"/>
    <w:bookmarkStart w:id="51" w:name="ref-yamazaki_high-accuracy_2017"/>
    <w:p>
      <w:pPr>
        <w:pStyle w:val="Bibliografa"/>
      </w:pPr>
      <w:r>
        <w:t xml:space="preserve">Yamazaki, D., D. Ikeshima, R. Tawatari, T. Yamaguchi, F. O’Loughlin, J. C. Neal, C. C. Sampson, S. Kanae, e P. D. Bates. 2017.</w:t>
      </w:r>
      <w:r>
        <w:t xml:space="preserve"> </w:t>
      </w:r>
      <w:hyperlink r:id="rId50">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51"/>
    <w:bookmarkEnd w:id="52"/>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cs.tnc.org/pages/land" TargetMode="External" /><Relationship Type="http://schemas.openxmlformats.org/officeDocument/2006/relationships/hyperlink" Id="rId50" Target="https://doi.org/10.1002/2017GL072874" TargetMode="External" /><Relationship Type="http://schemas.openxmlformats.org/officeDocument/2006/relationships/hyperlink" Id="rId41" Target="https://doi.org/10.1016/j.rse.2017.06.031" TargetMode="External" /><Relationship Type="http://schemas.openxmlformats.org/officeDocument/2006/relationships/hyperlink" Id="rId48" Target="https://doi.org/10.1029/2019WR024873" TargetMode="External"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 Type="http://schemas.openxmlformats.org/officeDocument/2006/relationships/hyperlink" Id="rId46" Target="https://doi.org/10.1371/journal.pone.0143619" TargetMode="External" /><Relationship Type="http://schemas.openxmlformats.org/officeDocument/2006/relationships/hyperlink" Id="rId43" Target="https://doi.org/10.17528/cifor/data.00058" TargetMode="External" /><Relationship Type="http://schemas.openxmlformats.org/officeDocument/2006/relationships/hyperlink" Id="rId34" Target="https://www.ibge.gov.br/geociencias/informacoes-ambientais/pedologia/10871-pedologia.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rcs.tnc.org/pages/land" TargetMode="External" /><Relationship Type="http://schemas.openxmlformats.org/officeDocument/2006/relationships/hyperlink" Id="rId50" Target="https://doi.org/10.1002/2017GL072874" TargetMode="External" /><Relationship Type="http://schemas.openxmlformats.org/officeDocument/2006/relationships/hyperlink" Id="rId41" Target="https://doi.org/10.1016/j.rse.2017.06.031" TargetMode="External" /><Relationship Type="http://schemas.openxmlformats.org/officeDocument/2006/relationships/hyperlink" Id="rId48" Target="https://doi.org/10.1029/2019WR024873" TargetMode="External"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 Type="http://schemas.openxmlformats.org/officeDocument/2006/relationships/hyperlink" Id="rId46" Target="https://doi.org/10.1371/journal.pone.0143619" TargetMode="External" /><Relationship Type="http://schemas.openxmlformats.org/officeDocument/2006/relationships/hyperlink" Id="rId43" Target="https://doi.org/10.17528/cifor/data.00058" TargetMode="External" /><Relationship Type="http://schemas.openxmlformats.org/officeDocument/2006/relationships/hyperlink" Id="rId34" Target="https://www.ibge.gov.br/geociencias/informacoes-ambientais/pedologia/10871-pedolog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2023-09-06T18:21:57Z</dcterms:created>
  <dcterms:modified xsi:type="dcterms:W3CDTF">2023-09-06T18:21:57Z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