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a</w:t>
      </w:r>
      <w:r>
        <w:t xml:space="preserve"> </w:t>
      </w:r>
      <w:r>
        <w:rPr>
          <w:bCs/>
          <w:b/>
        </w:rPr>
        <w:t xml:space="preserve">conectividade local</w:t>
      </w:r>
      <w:r>
        <w:t xml:space="preserve">, que posteriomente, compõem a resiliência da paisagem.</w:t>
      </w:r>
      <w:r>
        <w:t xml:space="preserve"> </w:t>
      </w:r>
      <w:r>
        <w:t xml:space="preserve">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616142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5600700" cy="616142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w:t>
            </w:r>
          </w:p>
        </w:tc>
      </w:tr>
    </w:tbl>
    <w:bookmarkStart w:id="41" w:name="resiliência"/>
    <w:p>
      <w:pPr>
        <w:pStyle w:val="Ttulo2"/>
      </w:pPr>
      <w:r>
        <w:t xml:space="preserve">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heterogeneidade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27" w:name="diversidade-da-paisagem"/>
    <w:p>
      <w:pPr>
        <w:pStyle w:val="Ttulo3"/>
      </w:pPr>
      <w:r>
        <w:t xml:space="preserve">heterogeneidade da paisagem</w:t>
      </w:r>
    </w:p>
    <w:p>
      <w:pPr>
        <w:pStyle w:val="FirstParagraph"/>
      </w:pPr>
      <w:r>
        <w:t xml:space="preserve">A heterogeneidade da paisagem está relacionada à variedade de microclimas em um determinado local.</w:t>
      </w:r>
      <w:r>
        <w:t xml:space="preserve"> </w:t>
      </w:r>
      <w:r>
        <w:t xml:space="preserve">A análise de heterogeneidade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23" w:name="variedade-de-landforms"/>
    <w:p>
      <w:pPr>
        <w:pStyle w:val="Ttulo4"/>
      </w:pPr>
      <w:r>
        <w:t xml:space="preserve">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 e 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w:t>
      </w:r>
      <w:r>
        <w:t xml:space="preserve"> </w:t>
      </w:r>
      <w:r>
        <w:t xml:space="preserve">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23"/>
    <w:bookmarkStart w:id="24" w:name="amplitude-altitudinal"/>
    <w:p>
      <w:pPr>
        <w:pStyle w:val="Ttulo4"/>
      </w:pPr>
      <w:r>
        <w:t xml:space="preserve">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24"/>
    <w:bookmarkStart w:id="25" w:name="índice-de-áreas-úmidas"/>
    <w:p>
      <w:pPr>
        <w:pStyle w:val="Ttulo4"/>
      </w:pPr>
      <w:r>
        <w:t xml:space="preserve">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w:t>
      </w:r>
      <w:r>
        <w:t xml:space="preserve"> </w:t>
      </w:r>
      <w:r>
        <w:t xml:space="preserve">A densidade e quantidade de áreas úmidas é resumido no índice de áreas úmidas, que é obtido pela média das densidade de aŕeas úmidas dentro de áreas circulares de 450 metros de raio (escala local) e 1170 metros de raio (escala regional), em cada célula de 90 m.</w:t>
      </w:r>
      <w:r>
        <w:t xml:space="preserve"> </w:t>
      </w:r>
      <w:r>
        <w:t xml:space="preserve">Essa densidade é combinada com a quantidade de áreas úmidas (</w:t>
      </w:r>
      <w:r>
        <w:rPr>
          <w:iCs/>
          <w:i/>
        </w:rPr>
        <w:t xml:space="preserve">wetland patchiness</w:t>
      </w:r>
      <w:r>
        <w:t xml:space="preserve">) em áreas circular de 1170 metros de raio, formando o índice de áreas úmidas.</w:t>
      </w:r>
    </w:p>
    <w:bookmarkEnd w:id="25"/>
    <w:bookmarkStart w:id="26" w:name="diversidade-de-solo"/>
    <w:p>
      <w:pPr>
        <w:pStyle w:val="Ttulo4"/>
      </w:pPr>
      <w:r>
        <w:t xml:space="preserve">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heterogeneidade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r>
        <w:t xml:space="preserve"> </w:t>
      </w:r>
    </w:p>
    <w:bookmarkEnd w:id="26"/>
    <w:bookmarkEnd w:id="27"/>
    <w:bookmarkStart w:id="28" w:name="conectividade-local"/>
    <w:p>
      <w:pPr>
        <w:pStyle w:val="Ttulo3"/>
      </w:pPr>
      <w:r>
        <w:t xml:space="preserve">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~2070 m, sendo os pesos um decaimento linear pela distância da célula focal.</w:t>
      </w:r>
    </w:p>
    <w:bookmarkEnd w:id="28"/>
    <w:bookmarkStart w:id="29" w:name="dados-padronizados-z-scores"/>
    <w:p>
      <w:pPr>
        <w:pStyle w:val="Ttulo3"/>
      </w:pPr>
      <w:r>
        <w:t xml:space="preserve">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dentro de janelas móveis de 200 pixels de raio.</w:t>
      </w:r>
      <w:r>
        <w:t xml:space="preserve"> </w:t>
      </w:r>
      <w:r>
        <w:t xml:space="preserve">Isso garante a inclusão de condições físicas e ambientais distintas e permite capturar variações locais na composição da biota associada.</w:t>
      </w:r>
      <w:r>
        <w:t xml:space="preserve"> </w:t>
      </w:r>
      <w:r>
        <w:t xml:space="preserve">Posteriomente, os valores de Z são combinados em heterogeneidade da paisagem.</w:t>
      </w:r>
    </w:p>
    <w:bookmarkEnd w:id="29"/>
    <w:bookmarkStart w:id="40" w:name="Xb9b6429894ec4852adbf24afe31a8b5cc8f84b0"/>
    <w:p>
      <w:pPr>
        <w:pStyle w:val="Ttulo3"/>
      </w:pPr>
      <w:r>
        <w:t xml:space="preserve">Resiliência: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definida como asobreposição dos mapas de heterogeneidade e conectividade local baseada no histograma de distribuição dos valores dessas métricas. Dessa forma, podemos criar um mapa bivariado da resiliência da paisagem, que tem como objetivo mostrar as áreas onde os resultados das duas métricas se sobrepõem ou divergem, baseado na escala de cor que escolhemos destacando regiões que merecem atenção especial em termos de conservação e manejo, identificando áreas onde a conectividade local e a heterogeneidade da paisagem são mais importantes para a resiliência da paisagem.</w:t>
      </w:r>
    </w:p>
    <w:p>
      <w:pPr>
        <w:pStyle w:val="Textoindependiente"/>
      </w:pPr>
      <w:r>
        <w:drawing>
          <wp:inline>
            <wp:extent cx="2077419" cy="2020221"/>
            <wp:effectExtent b="0" l="0" r="0" t="0"/>
            <wp:docPr descr="Definição das classes de Resiliência da Paisagem, baseada na distribuição de pixels nas imagens originais de Heterogeneidade da Paisagem e Conectividade Local"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2077419" cy="2020221"/>
                    </a:xfrm>
                    <a:prstGeom prst="rect">
                      <a:avLst/>
                    </a:prstGeom>
                    <a:noFill/>
                    <a:ln w="9525">
                      <a:noFill/>
                      <a:headEnd/>
                      <a:tailEnd/>
                    </a:ln>
                  </pic:spPr>
                </pic:pic>
              </a:graphicData>
            </a:graphic>
          </wp:inline>
        </w:drawing>
      </w:r>
      <w:r>
        <w:t xml:space="preserve">(#res_classes)</w:t>
      </w:r>
    </w:p>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2023-09-22T20:09:03Z</dcterms:created>
  <dcterms:modified xsi:type="dcterms:W3CDTF">2023-09-22T20:09:03Z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