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a</w:t>
      </w:r>
      <w:r>
        <w:t xml:space="preserve"> </w:t>
      </w:r>
      <w:r>
        <w:rPr>
          <w:bCs/>
          <w:b/>
        </w:rPr>
        <w:t xml:space="preserve">resiliência às mudanças climáticas</w:t>
      </w:r>
      <w:r>
        <w:t xml:space="preserve">, por meio do mapeamento da</w:t>
      </w:r>
      <w:r>
        <w:t xml:space="preserve"> </w:t>
      </w:r>
      <w:r>
        <w:rPr>
          <w:bCs/>
          <w:b/>
        </w:rPr>
        <w:t xml:space="preserve">heterogeneidade ambiental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áreas, para identificar locais maior potencial de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(ambientalmente heterogêneas e conectadas entre si) para os biomas do Brasil, que permita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2023-10-03T13:45:06Z</dcterms:created>
  <dcterms:modified xsi:type="dcterms:W3CDTF">2023-10-03T13:45:06Z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