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a</w:t>
      </w:r>
      <w:r>
        <w:t xml:space="preserve"> </w:t>
      </w:r>
      <w:r>
        <w:rPr>
          <w:bCs/>
          <w:b/>
        </w:rPr>
        <w:t xml:space="preserve">resiliência às mudanças climáticas</w:t>
      </w:r>
      <w:r>
        <w:t xml:space="preserve">, por meio do mapeamento da</w:t>
      </w:r>
      <w:r>
        <w:t xml:space="preserve"> </w:t>
      </w:r>
      <w:r>
        <w:rPr>
          <w:bCs/>
          <w:b/>
        </w:rPr>
        <w:t xml:space="preserve">heterogeneidade ambiental</w:t>
      </w:r>
      <w:r>
        <w:t xml:space="preserve"> </w:t>
      </w:r>
      <w:r>
        <w:t xml:space="preserve">e da</w:t>
      </w:r>
      <w:r>
        <w:t xml:space="preserve"> </w:t>
      </w:r>
      <w:r>
        <w:rPr>
          <w:bCs/>
          <w:b/>
        </w:rPr>
        <w:t xml:space="preserve">conectividade local</w:t>
      </w:r>
      <w:r>
        <w:t xml:space="preserve"> </w:t>
      </w:r>
      <w:r>
        <w:t xml:space="preserve">entre áreas, para identificar locais maior potencial de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</w:t>
      </w:r>
      <w:r>
        <w:t xml:space="preserve"> </w:t>
      </w:r>
      <w:r>
        <w:rPr>
          <w:bCs/>
          <w:b/>
        </w:rPr>
        <w:t xml:space="preserve">heterogeneidade da paisagem</w:t>
      </w:r>
      <w:r>
        <w:t xml:space="preserve"> </w:t>
      </w:r>
      <w:r>
        <w:t xml:space="preserve">e de</w:t>
      </w:r>
      <w:r>
        <w:t xml:space="preserve"> </w:t>
      </w:r>
      <w:r>
        <w:rPr>
          <w:bCs/>
          <w:b/>
        </w:rPr>
        <w:t xml:space="preserve">conectividade local</w:t>
      </w:r>
      <w:r>
        <w:rPr>
          <w:bCs/>
          <w:b/>
        </w:rP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(ambientalmente heterogêneas e conectadas entre si) para os biomas do Brasil, que permita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2023-10-04T12:33:37Z</dcterms:created>
  <dcterms:modified xsi:type="dcterms:W3CDTF">2023-10-04T12:33:37Z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