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resumo"/>
    <w:p>
      <w:pPr>
        <w:pStyle w:val="Ttulo1"/>
      </w:pPr>
      <w:r>
        <w:t xml:space="preserve">Resumo</w:t>
      </w:r>
    </w:p>
    <w:p>
      <w:pPr>
        <w:pStyle w:val="FirstParagraph"/>
      </w:pPr>
      <w:r>
        <w:t xml:space="preserve">As mudanças no clima modificam ambientes naturais e pressionam espécies a se adaptarem às novas condições ambientais ou alterarem suas distribuições espaciais para locais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 que permitam a movimentação da biodiversidade na busca de áreas mais climaticamente adequadas.</w:t>
      </w:r>
    </w:p>
    <w:p>
      <w:pPr>
        <w:pStyle w:val="Textoindependiente"/>
      </w:pP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forneçam condições microclimáticas para o enfrentamento às mudanças climáticas,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uso do solo e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p>
    <w:p>
      <w:pPr>
        <w:pStyle w:val="Textoindependiente"/>
      </w:pP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 baseado na literatura disponível, o projeto busca adequar a metodologia original ao contexto dos biomas brasileiros, refinando e adaptando quando necessário.</w:t>
      </w:r>
      <w:r>
        <w:t xml:space="preserve"> </w:t>
      </w:r>
    </w:p>
    <w:p>
      <w:pPr>
        <w:pStyle w:val="Textoindependiente"/>
      </w:pPr>
      <w:r>
        <w:t xml:space="preserve">O produto resultante desse projeto é um mapa de áreas resilientes e conectadas para os biomas do Brasil e permite identificar áreas com potencial de sustentar animais e plantas em um clima sob mudanças, um relatório técnico, uma documentação reproduzível das análises e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8"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w:t>
      </w:r>
      <w:r>
        <w:t xml:space="preserve"> </w:t>
      </w:r>
      <w:r>
        <w:t xml:space="preserve">Brasil 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7"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
    <w:p>
      <w:pPr>
        <w:pStyle w:val="Ttulo3"/>
      </w:pPr>
      <w:r>
        <w:t xml:space="preserve">1.1.1 Equipe TNC</w:t>
      </w:r>
    </w:p>
    <w:p>
      <w:pPr>
        <w:numPr>
          <w:ilvl w:val="0"/>
          <w:numId w:val="1003"/>
        </w:numPr>
        <w:pStyle w:val="Compact"/>
      </w:pPr>
      <w:r>
        <w:t xml:space="preserve">Milena Rosenfield</w:t>
      </w:r>
      <w:r>
        <w:br/>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biomas"/>
    <w:p>
      <w:pPr>
        <w:pStyle w:val="Ttulo3"/>
      </w:pPr>
      <w:r>
        <w:t xml:space="preserve">1.1.2 Equipe Biomas</w:t>
      </w:r>
    </w:p>
    <w:p>
      <w:pPr>
        <w:numPr>
          <w:ilvl w:val="0"/>
          <w:numId w:val="1004"/>
        </w:numPr>
        <w:pStyle w:val="Compact"/>
      </w:pPr>
      <w:r>
        <w:t xml:space="preserve">Amazônia: Ana Albernaz, Luciano Querido</w:t>
      </w:r>
    </w:p>
    <w:p>
      <w:pPr>
        <w:numPr>
          <w:ilvl w:val="0"/>
          <w:numId w:val="1004"/>
        </w:numPr>
        <w:pStyle w:val="Compact"/>
      </w:pPr>
      <w:r>
        <w:t xml:space="preserve">Caatinga: Eduardo Venticinque, Marina Antongiovanni</w:t>
      </w:r>
    </w:p>
    <w:p>
      <w:pPr>
        <w:numPr>
          <w:ilvl w:val="0"/>
          <w:numId w:val="1004"/>
        </w:numPr>
        <w:pStyle w:val="Compact"/>
      </w:pPr>
      <w:r>
        <w:t xml:space="preserve">Cerrado: Levi Carina Terribile, Lucas Jardim</w:t>
      </w:r>
    </w:p>
    <w:p>
      <w:pPr>
        <w:numPr>
          <w:ilvl w:val="0"/>
          <w:numId w:val="1004"/>
        </w:numPr>
        <w:pStyle w:val="Compact"/>
      </w:pPr>
      <w:r>
        <w:t xml:space="preserve">Mata Atlântica: Leandro Tambosi, Andrea Sánchez-Tapia</w:t>
      </w:r>
    </w:p>
    <w:p>
      <w:pPr>
        <w:numPr>
          <w:ilvl w:val="0"/>
          <w:numId w:val="1004"/>
        </w:numPr>
        <w:pStyle w:val="Compact"/>
      </w:pPr>
      <w:r>
        <w:t xml:space="preserve">Pampa: Milena Rosenfield, Mário Barroso, José Fronza</w:t>
      </w:r>
    </w:p>
    <w:p>
      <w:pPr>
        <w:numPr>
          <w:ilvl w:val="0"/>
          <w:numId w:val="1004"/>
        </w:numPr>
        <w:pStyle w:val="Compact"/>
      </w:pPr>
      <w:r>
        <w:t xml:space="preserve">Pantanal: Letícia Couto Garcia, Alisson Ribeiro</w:t>
      </w:r>
    </w:p>
    <w:p>
      <w:pPr>
        <w:pStyle w:val="FirstParagraph"/>
      </w:pPr>
    </w:p>
    <w:bookmarkEnd w:id="26"/>
    <w:bookmarkEnd w:id="27"/>
    <w:bookmarkEnd w:id="28"/>
    <w:bookmarkStart w:id="30"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persistir e se adaptar a mudanças no clima.</w:t>
      </w:r>
    </w:p>
    <w:bookmarkStart w:id="29"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29"/>
    <w:bookmarkEnd w:id="30"/>
    <w:bookmarkStart w:id="37" w:name="métodos"/>
    <w:p>
      <w:pPr>
        <w:pStyle w:val="Ttulo1"/>
      </w:pPr>
      <w:r>
        <w:t xml:space="preserve">3. Métodos</w:t>
      </w:r>
    </w:p>
    <w:p>
      <w:pPr>
        <w:pStyle w:val="FirstParagraph"/>
      </w:pPr>
      <w:r>
        <w:t xml:space="preserve">A metodologia proposta para identificar sítios resilientes</w:t>
      </w:r>
      <w:r>
        <w:t xml:space="preserve"> </w:t>
      </w:r>
      <w:r>
        <w:t xml:space="preserve">(Anderson et al. 2014, 2016a, Anderson et al. 2016b, e Anderson et al. 2023)</w:t>
      </w:r>
      <w:r>
        <w:t xml:space="preserve"> </w:t>
      </w:r>
      <w:r>
        <w:t xml:space="preserve">envolve o mapeamento das configurações geofísicas, a análise da diversidade da paisagem e da conectividade local, para, por fim, gerar o mapa de áreas resilientes.</w:t>
      </w:r>
      <w:r>
        <w:t xml:space="preserve"> </w:t>
      </w:r>
      <w:r>
        <w:t xml:space="preserve">Cada uma dessas etapas é descrita a seguir.</w:t>
      </w:r>
    </w:p>
    <w:bookmarkStart w:id="31" w:name="regiões-eco-geológicas"/>
    <w:p>
      <w:pPr>
        <w:pStyle w:val="Ttulo2"/>
      </w:pPr>
      <w:r>
        <w:t xml:space="preserve">3.1 Regiões eco-geológicas</w:t>
      </w:r>
    </w:p>
    <w:p>
      <w:pPr>
        <w:pStyle w:val="FirstParagraph"/>
      </w:pPr>
      <w:r>
        <w:t xml:space="preserve">A primeira etapa consiste em caracterizar e classificar a região de estudo em</w:t>
      </w:r>
      <w:r>
        <w:t xml:space="preserve"> </w:t>
      </w:r>
      <w:r>
        <w:rPr>
          <w:bCs/>
          <w:b/>
        </w:rPr>
        <w:t xml:space="preserve">regiões eco-geológicas</w:t>
      </w:r>
      <w:r>
        <w:t xml:space="preserve"> </w:t>
      </w:r>
      <w:r>
        <w:t xml:space="preserve">baseadas no meio físico e biológico. Para tal, nós utilizamos domínios geológicos e ecoregiões.</w:t>
      </w:r>
      <w:r>
        <w:t xml:space="preserve"> </w:t>
      </w:r>
      <w:r>
        <w:t xml:space="preserve">Os domínios geológicos foram derivados de unidades geológicas, as quais são agrupamentos de rochas. Entretanto, devido ao alto número de categorias para o Brasil (em torno de 1350), foram utilizados os domínios geológicos (14 categorias) como agrupamentos de unidades geológicas.</w:t>
      </w:r>
      <w:r>
        <w:t xml:space="preserve"> </w:t>
      </w:r>
      <w:r>
        <w:t xml:space="preserve">Zonas altitudinais não foram utilizadas, pois a variabilidade proveniente das mesmas já é considerada nas ecoregiões.</w:t>
      </w:r>
      <w:r>
        <w:t xml:space="preserve"> </w:t>
      </w:r>
      <w:r>
        <w:t xml:space="preserve">Esses dados são então integrados para identificar regiões homólogas (com características similares). 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representam os domínios geológicos e</w:t>
      </w:r>
      <w:r>
        <w:t xml:space="preserve"> </w:t>
      </w:r>
      <w:r>
        <w:rPr>
          <w:bCs/>
          <w:b/>
        </w:rPr>
        <w:t xml:space="preserve">EE</w:t>
      </w:r>
      <w:r>
        <w:t xml:space="preserve"> </w:t>
      </w:r>
      <w:r>
        <w:t xml:space="preserve">as categorias de ecoregiões.</w:t>
      </w:r>
    </w:p>
    <w:p>
      <w:pPr>
        <w:pStyle w:val="Textoindependiente"/>
      </w:pPr>
      <w:r>
        <w:t xml:space="preserve">No estudo desenvolvido nos EUA o mapeamento foi feito por ecoregiões, uma vez que esses locais apresentam condições ambientais similares, especialmente relacionado a</w:t>
      </w:r>
      <w:r>
        <w:t xml:space="preserve"> </w:t>
      </w:r>
      <w:r>
        <w:rPr>
          <w:iCs/>
          <w:i/>
        </w:rPr>
        <w:t xml:space="preserve">landforms</w:t>
      </w:r>
      <w:r>
        <w:t xml:space="preserve">, geologia e solos, e que compartilham conjuntos de comunidades naturais e espécies. Esse produto foi chamado de</w:t>
      </w:r>
      <w:r>
        <w:t xml:space="preserve"> </w:t>
      </w:r>
      <w:r>
        <w:rPr>
          <w:iCs/>
          <w:i/>
        </w:rPr>
        <w:t xml:space="preserve">geophysical settings</w:t>
      </w:r>
      <w:r>
        <w:t xml:space="preserve">, levando em conta a geologia ou solo com zonas altitudinais. Entretanto, neste trabalho chamamos o mesmo produto de regiões eco-geológicas, visto que a geofísica investiga características não utilizadas no trabalho (elétricas, térmicas, magnéticas, gravitacionais e sísmicas).</w:t>
      </w:r>
      <w:r>
        <w:t xml:space="preserve"> </w:t>
      </w:r>
    </w:p>
    <w:bookmarkEnd w:id="31"/>
    <w:bookmarkStart w:id="36" w:name="resiliência"/>
    <w:p>
      <w:pPr>
        <w:pStyle w:val="Ttulo2"/>
      </w:pPr>
      <w:r>
        <w:t xml:space="preserve">3.2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30 m.</w:t>
      </w:r>
      <w:r>
        <w:t xml:space="preserve"> </w:t>
      </w:r>
      <w:r>
        <w:t xml:space="preserve">O resultado dessas análises é combinado para então estimar o valor de resiliência para cada local.</w:t>
      </w:r>
    </w:p>
    <w:bookmarkStart w:id="32" w:name="diversidade-da-paisagem"/>
    <w:p>
      <w:pPr>
        <w:pStyle w:val="Ttulo3"/>
      </w:pPr>
      <w:r>
        <w:t xml:space="preserve">3.2.1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a:</w:t>
      </w:r>
      <w:r>
        <w:t xml:space="preserve"> </w:t>
      </w:r>
      <w:r>
        <w:t xml:space="preserve">(a) variedade de landforms, (b) amplitude altitudinal, (c) densidade de banhados ou áreas úmidas (</w:t>
      </w:r>
      <w:r>
        <w:rPr>
          <w:iCs/>
          <w:i/>
        </w:rPr>
        <w:t xml:space="preserve">wetlands</w:t>
      </w:r>
      <w:r>
        <w:t xml:space="preserve">) e (d) propriedades do solo em um determinado local.</w:t>
      </w:r>
      <w:r>
        <w:t xml:space="preserve"> </w:t>
      </w:r>
      <w:r>
        <w:t xml:space="preserve">A variedade de</w:t>
      </w:r>
      <w:r>
        <w:t xml:space="preserve"> </w:t>
      </w:r>
      <w:r>
        <w:rPr>
          <w:iCs/>
          <w:i/>
        </w:rPr>
        <w:t xml:space="preserve">landforms</w:t>
      </w:r>
      <w:r>
        <w:t xml:space="preserve"> </w:t>
      </w:r>
      <w:r>
        <w:t xml:space="preserve">diz respeito à variedade de componentes naturais do terreno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30 m, que classifica a superfície em diversas categorias, como por exemplo:</w:t>
      </w:r>
    </w:p>
    <w:p>
      <w:pPr>
        <w:numPr>
          <w:ilvl w:val="0"/>
          <w:numId w:val="1006"/>
        </w:numPr>
        <w:pStyle w:val="Compact"/>
      </w:pPr>
      <w:r>
        <w:t xml:space="preserve">precipícios e áreas íngremes -</w:t>
      </w:r>
      <w:r>
        <w:rPr>
          <w:iCs/>
          <w:i/>
        </w:rPr>
        <w:t xml:space="preserve">cliff and steep slope</w:t>
      </w:r>
    </w:p>
    <w:p>
      <w:pPr>
        <w:numPr>
          <w:ilvl w:val="0"/>
          <w:numId w:val="1006"/>
        </w:numPr>
        <w:pStyle w:val="Compact"/>
      </w:pPr>
      <w:r>
        <w:t xml:space="preserve">topos de montanha e divisores de águas (</w:t>
      </w:r>
      <w:r>
        <w:rPr>
          <w:iCs/>
          <w:i/>
        </w:rPr>
        <w:t xml:space="preserve">summit and ridge-top</w:t>
      </w:r>
      <w:r>
        <w:t xml:space="preserve">)</w:t>
      </w:r>
    </w:p>
    <w:p>
      <w:pPr>
        <w:numPr>
          <w:ilvl w:val="0"/>
          <w:numId w:val="1006"/>
        </w:numPr>
        <w:pStyle w:val="Compact"/>
      </w:pPr>
      <w:r>
        <w:t xml:space="preserve">vertentes norte e sul, que determinam se uma vertente é cálida ou fria, especialmente em latitudes maiores, (</w:t>
      </w:r>
      <w:r>
        <w:rPr>
          <w:iCs/>
          <w:i/>
        </w:rPr>
        <w:t xml:space="preserve">north/south-facing side slope</w:t>
      </w:r>
      <w:r>
        <w:t xml:space="preserve">)</w:t>
      </w:r>
    </w:p>
    <w:p>
      <w:pPr>
        <w:numPr>
          <w:ilvl w:val="0"/>
          <w:numId w:val="1006"/>
        </w:numPr>
        <w:pStyle w:val="Compact"/>
      </w:pPr>
      <w:r>
        <w:t xml:space="preserve">colinas baixas (</w:t>
      </w:r>
      <w:r>
        <w:rPr>
          <w:iCs/>
          <w:i/>
        </w:rPr>
        <w:t xml:space="preserve">low hill</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leva em conta a combinação de informações sobre</w:t>
      </w:r>
      <w:r>
        <w:t xml:space="preserve"> </w:t>
      </w:r>
      <w:r>
        <w:rPr>
          <w:bCs/>
          <w:b/>
        </w:rPr>
        <w:t xml:space="preserve">inclinação, orientação, posição no terreno e acumulação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w:t>
      </w:r>
      <w:r>
        <w:t xml:space="preserve"> </w:t>
      </w:r>
      <w:r>
        <w:rPr>
          <w:iCs/>
          <w:i/>
        </w:rPr>
        <w:t xml:space="preserve">moisture accumulation</w:t>
      </w:r>
      <w:r>
        <w:t xml:space="preserve">), que corresponde a ambientes topográficos locais com combinações distintas de umidade, radiação e deposição.</w:t>
      </w:r>
    </w:p>
    <w:p>
      <w:pPr>
        <w:pStyle w:val="Textoindependiente"/>
      </w:pPr>
      <w:r>
        <w:t xml:space="preserve">A</w:t>
      </w:r>
      <w:r>
        <w:t xml:space="preserve"> </w:t>
      </w:r>
      <w:r>
        <w:rPr>
          <w:bCs/>
          <w:b/>
        </w:rPr>
        <w:t xml:space="preserve">diversidade da paisagem</w:t>
      </w:r>
      <w:r>
        <w:t xml:space="preserve"> </w:t>
      </w:r>
      <w:r>
        <w:t xml:space="preserve">é calculada pelo número de</w:t>
      </w:r>
      <w:r>
        <w:t xml:space="preserve"> </w:t>
      </w:r>
      <w:r>
        <w:rPr>
          <w:iCs/>
          <w:i/>
        </w:rPr>
        <w:t xml:space="preserve">landforms</w:t>
      </w:r>
      <w:r>
        <w:t xml:space="preserve"> </w:t>
      </w:r>
      <w:r>
        <w:t xml:space="preserve">dentro de uma área circular de 40 ha no entorno de cada célula de 30 m.</w:t>
      </w:r>
    </w:p>
    <w:p>
      <w:pPr>
        <w:pStyle w:val="Textoindependiente"/>
      </w:pPr>
    </w:p>
    <w:bookmarkEnd w:id="32"/>
    <w:bookmarkStart w:id="33" w:name="amplitude-altitudinal"/>
    <w:p>
      <w:pPr>
        <w:pStyle w:val="Ttulo3"/>
      </w:pPr>
      <w:r>
        <w:t xml:space="preserve">3.2.2 Amplitude altitudinal</w:t>
      </w:r>
    </w:p>
    <w:p>
      <w:pPr>
        <w:pStyle w:val="FirstParagraph"/>
      </w:pPr>
      <w:r>
        <w:t xml:space="preserve">A amplitude altitudinal é determinada a partir do DEM, tabulando a amplitude em uma área circular de 40 ha no entorno de cada célula de 30 m.</w:t>
      </w:r>
      <w:r>
        <w:t xml:space="preserve"> </w:t>
      </w:r>
      <w:r>
        <w:t xml:space="preserve">A amplitude altitudinal considerada no estudo corresponde ao componente não correlacionado (os resíduos de uma regressão linear simples) com a diversidade de</w:t>
      </w:r>
      <w:r>
        <w:t xml:space="preserve"> </w:t>
      </w:r>
      <w:r>
        <w:rPr>
          <w:iCs/>
          <w:i/>
        </w:rPr>
        <w:t xml:space="preserve">landforms</w:t>
      </w:r>
      <w:r>
        <w:t xml:space="preserve">.</w:t>
      </w:r>
    </w:p>
    <w:p>
      <w:pPr>
        <w:pStyle w:val="Textoindependiente"/>
      </w:pPr>
      <w:r>
        <w:t xml:space="preserve">Para áreas extremamente planas, nas quais a variedade de</w:t>
      </w:r>
      <w:r>
        <w:t xml:space="preserve"> </w:t>
      </w:r>
      <w:r>
        <w:rPr>
          <w:iCs/>
          <w:i/>
        </w:rPr>
        <w:t xml:space="preserve">landforms</w:t>
      </w:r>
      <w:r>
        <w:t xml:space="preserve"> </w:t>
      </w:r>
      <w:r>
        <w:t xml:space="preserve">e a amplitude altitudinal não permitem discriminar de forma correta células equivalentes, foram avaliadas a densidade de áreas úmidas/banhados (</w:t>
      </w:r>
      <w:r>
        <w:rPr>
          <w:iCs/>
          <w:i/>
        </w:rPr>
        <w:t xml:space="preserve">wetlands</w:t>
      </w:r>
      <w:r>
        <w:t xml:space="preserve">) e a diversidade de solos.</w:t>
      </w:r>
      <w:r>
        <w:t xml:space="preserve"> </w:t>
      </w:r>
      <w:r>
        <w:t xml:space="preserve">A densidade de banhados é incluída como um indicador em escala mais fina de características microtopográficas não capturadas nas classes do modelo de</w:t>
      </w:r>
      <w:r>
        <w:t xml:space="preserve"> </w:t>
      </w:r>
      <w:r>
        <w:rPr>
          <w:iCs/>
          <w:i/>
        </w:rPr>
        <w:t xml:space="preserve">landforms</w:t>
      </w:r>
      <w:r>
        <w:t xml:space="preserve">.</w:t>
      </w:r>
    </w:p>
    <w:p>
      <w:pPr>
        <w:pStyle w:val="Textoindependiente"/>
      </w:pPr>
      <w:r>
        <w:t xml:space="preserve">O índice de densidade de banhados é obtido pelo cálculo do percentual de banhados dentro de buffers de 40 ha e 400 ha em cada célula de 30 m.</w:t>
      </w:r>
      <w:r>
        <w:t xml:space="preserve"> </w:t>
      </w:r>
      <w:r>
        <w:t xml:space="preserve">O cálculo do valor de banhados envolve ainda a avaliação de manchas irregulares de áreas úmidas (</w:t>
      </w:r>
      <w:r>
        <w:rPr>
          <w:iCs/>
          <w:i/>
        </w:rPr>
        <w:t xml:space="preserve">wetland patchiness</w:t>
      </w:r>
      <w:r>
        <w:t xml:space="preserve">) na paisagem, que leva em conta a distribuição irregular de áreas úmidas de tamanho reduzido.</w:t>
      </w:r>
    </w:p>
    <w:p>
      <w:pPr>
        <w:pStyle w:val="Textoindependiente"/>
      </w:pPr>
      <w:r>
        <w:t xml:space="preserve">Por fim, em áreas muito planas de regiões costeiras,</w:t>
      </w:r>
      <w:r>
        <w:t xml:space="preserve"> </w:t>
      </w:r>
      <w:r>
        <w:rPr>
          <w:bCs/>
          <w:b/>
        </w:rPr>
        <w:t xml:space="preserve">foi incluído ainda um componente adicional de diversidade de solos</w:t>
      </w:r>
      <w:r>
        <w:t xml:space="preserve">, que gera uma informação em escala mais fina para identificar variações em áreas planas de alta diversidade nas características do solo.</w:t>
      </w:r>
    </w:p>
    <w:p>
      <w:pPr>
        <w:pStyle w:val="Textoindependiente"/>
      </w:pPr>
      <w:r>
        <w:t xml:space="preserve">A combinação dos índices de variedade de</w:t>
      </w:r>
      <w:r>
        <w:t xml:space="preserve"> </w:t>
      </w:r>
      <w:r>
        <w:rPr>
          <w:bCs/>
          <w:b/>
        </w:rPr>
        <w:t xml:space="preserve">landforms</w:t>
      </w:r>
      <w:r>
        <w:t xml:space="preserve">, amplitude altitudinal, valor de banhado e diversidade de solos descritos acima gera o</w:t>
      </w:r>
      <w:r>
        <w:t xml:space="preserve"> </w:t>
      </w:r>
      <w:r>
        <w:rPr>
          <w:bCs/>
          <w:b/>
        </w:rPr>
        <w:t xml:space="preserve">índice de 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3"/>
    <w:bookmarkStart w:id="34" w:name="conectividade-local"/>
    <w:p>
      <w:pPr>
        <w:pStyle w:val="Ttulo3"/>
      </w:pPr>
      <w:r>
        <w:t xml:space="preserve">3.2.3 Conectividade local</w:t>
      </w:r>
    </w:p>
    <w:p>
      <w:pPr>
        <w:pStyle w:val="FirstParagraph"/>
      </w:pPr>
      <w:r>
        <w:t xml:space="preserve">A conectividade local permite estimar o grau de permeabilidade (ou reciprocamente o grau de resistência) em torno de cada célula avaliada.</w:t>
      </w:r>
      <w:r>
        <w:t xml:space="preserve"> </w:t>
      </w:r>
      <w:r>
        <w:t xml:space="preserve">O algoritmo utilizado mede a conectividade de uma célula focal com o seu vizinho ecológico quando a célula é vista como uma fonte de movimento radiando em todas as direções.</w:t>
      </w:r>
    </w:p>
    <w:p>
      <w:pPr>
        <w:pStyle w:val="Textoindependiente"/>
      </w:pPr>
      <w:r>
        <w:t xml:space="preserve">O pressuposto é de que a permeabilidade de duas células adjacentes aumenta quando a sua similaridade ecológica aumenta.</w:t>
      </w:r>
    </w:p>
    <w:p>
      <w:pPr>
        <w:pStyle w:val="Textoindependiente"/>
      </w:pPr>
      <w:r>
        <w:t xml:space="preserve">A partir de um mapa de uso e cobertura do solo, incluindo a presença de estradas, foi realizada uma simplificação dos tipos de uso em componentes principais da paisagem e determinado pesos de resistência para cada categoria, nos quais áreas naturais apresentam o valor mínimo, e áreas com intervenção antrópica intensa,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medida através da análise de resistência de cada célula.</w:t>
      </w:r>
      <w:r>
        <w:t xml:space="preserve"> </w:t>
      </w:r>
      <w:r>
        <w:t xml:space="preserve">Nesse contexto, a dispersão teórica de uma espécie (ou processo) a partir de uma célula focal é uma função dos valores de resistência das células vizinhas e suas distâncias com relação à célula focal, até uma distância máxima de 3 km.</w:t>
      </w:r>
      <w:r>
        <w:t xml:space="preserve"> </w:t>
      </w:r>
      <w:r>
        <w:t xml:space="preserve">A nota de conectividade local para uma célula é igual à área de dispersão, levando em conta a resistência dividida pela área de dispersão teórica se não houvesse resistência.</w:t>
      </w:r>
    </w:p>
    <w:bookmarkEnd w:id="34"/>
    <w:bookmarkStart w:id="35" w:name="X92e4cd55c489dd4a866fe60321a598b36f59b6f"/>
    <w:p>
      <w:pPr>
        <w:pStyle w:val="Ttulo3"/>
      </w:pPr>
      <w:r>
        <w:t xml:space="preserve">3.2.4 Combinando diversidade da paisagem e conectividade local: resiliência</w:t>
      </w:r>
    </w:p>
    <w:p>
      <w:pPr>
        <w:pStyle w:val="FirstParagraph"/>
      </w:pPr>
      <w:r>
        <w:t xml:space="preserve">O valor de resiliência de um sítio é determinado pela combinação da diversidade da paisagem e da conectividade local</w:t>
      </w:r>
    </w:p>
    <w:p>
      <w:pPr>
        <w:pStyle w:val="Textoindependiente"/>
      </w:pPr>
      <w:r>
        <w:t xml:space="preserve">(valor de resiliência = (diversidade da paisagem + conectividade local)/2),</w:t>
      </w:r>
    </w:p>
    <w:p>
      <w:pPr>
        <w:pStyle w:val="Textoindependiente"/>
      </w:pPr>
      <w:r>
        <w:t xml:space="preserve">utilizando dados padronizados (</w:t>
      </w:r>
      <w:r>
        <w:rPr>
          <w:iCs/>
          <w:i/>
        </w:rPr>
        <w:t xml:space="preserve">z-scores</w:t>
      </w:r>
      <w:r>
        <w:t xml:space="preserve">).</w:t>
      </w:r>
    </w:p>
    <w:p>
      <w:pPr>
        <w:pStyle w:val="Textoindependiente"/>
      </w:pPr>
      <w:r>
        <w:t xml:space="preserve">O resultado final é um mapa com grid de 30 m, constando os valores estimados de resiliência para cada local.</w:t>
      </w:r>
    </w:p>
    <w:p>
      <w:pPr>
        <w:pStyle w:val="Textoindependiente"/>
      </w:pPr>
      <w:r>
        <w:t xml:space="preserve">O mapeamento final dos sítios resilientes é feito por</w:t>
      </w:r>
      <w:r>
        <w:t xml:space="preserve"> </w:t>
      </w:r>
      <w:hyperlink w:anchor="configurações-geofísicas">
        <w:r>
          <w:rPr>
            <w:rStyle w:val="Hipervnculo"/>
            <w:bCs/>
            <w:b/>
          </w:rPr>
          <w:t xml:space="preserve">configurações geofísicas</w:t>
        </w:r>
      </w:hyperlink>
      <w:r>
        <w:t xml:space="preserve"> </w:t>
      </w:r>
      <w:r>
        <w:t xml:space="preserve">(item acima) dentro de ecoregiões.</w:t>
      </w:r>
      <w:r>
        <w:t xml:space="preserve"> </w:t>
      </w:r>
      <w:r>
        <w:t xml:space="preserve">Isso garante a inclusão de condições físicas e ambientais distintas e permite capturar variações na composição da biota associada.</w:t>
      </w:r>
      <w:r>
        <w:t xml:space="preserve"> </w:t>
      </w:r>
      <w:r>
        <w:t xml:space="preserve">Nesse sentido,</w:t>
      </w:r>
      <w:r>
        <w:t xml:space="preserve"> </w:t>
      </w:r>
      <w:r>
        <w:rPr>
          <w:bCs/>
          <w:b/>
        </w:rPr>
        <w:t xml:space="preserve">a resiliência é comparada dentro de cada configuração e não entre configurações geofísicas</w:t>
      </w:r>
      <w:r>
        <w:t xml:space="preserve">.</w:t>
      </w:r>
    </w:p>
    <w:p>
      <w:pPr>
        <w:pStyle w:val="Textoindependiente"/>
      </w:pPr>
      <w:r>
        <w:t xml:space="preserve">O mapa final de resiliência indica locais com maior ou menor resiliência comparados ao valor médio da região avaliada.</w:t>
      </w:r>
      <w:r>
        <w:t xml:space="preserve"> </w:t>
      </w:r>
      <w:r>
        <w:t xml:space="preserve">São considerados valores médios aqueles com -0,5 a 0,5 desvios padrão ao redor da média.</w:t>
      </w:r>
    </w:p>
    <w:p>
      <w:pPr>
        <w:pStyle w:val="Textoindependiente"/>
      </w:pPr>
      <w:r>
        <w:t xml:space="preserve">Os sítios com valores mais elevados de resiliência estão associados a locais com maiores níveis de biodiversidade</w:t>
      </w:r>
      <w:r>
        <w:t xml:space="preserve"> </w:t>
      </w:r>
      <w:r>
        <w:t xml:space="preserve">(Anderson et al. 2014)</w:t>
      </w:r>
      <w:r>
        <w:t xml:space="preserve">.</w:t>
      </w:r>
      <w:r>
        <w:t xml:space="preserve"> </w:t>
      </w:r>
      <w:r>
        <w:t xml:space="preserve">A metodologia descrita indica, para cada configuração geofísica, sítios que são mais prováveis de reter espécies e funções por um maior período sob mudanças no clima, possibilitando a identificação de refúgios naturais para conservação no futuro</w:t>
      </w:r>
      <w:r>
        <w:t xml:space="preserve"> </w:t>
      </w:r>
      <w:r>
        <w:t xml:space="preserve">(Anderson et al. 2014)</w:t>
      </w:r>
    </w:p>
    <w:p>
      <w:pPr>
        <w:pStyle w:val="Textoindependiente"/>
      </w:pPr>
    </w:p>
    <w:bookmarkEnd w:id="35"/>
    <w:bookmarkEnd w:id="36"/>
    <w:bookmarkEnd w:id="37"/>
    <w:bookmarkStart w:id="58" w:name="detalhamento-das-análises"/>
    <w:p>
      <w:pPr>
        <w:pStyle w:val="Ttulo1"/>
      </w:pPr>
      <w:r>
        <w:t xml:space="preserve">4. Detalhamento das análises</w:t>
      </w:r>
    </w:p>
    <w:bookmarkStart w:id="38" w:name="regiões-eco-geológicas-1"/>
    <w:p>
      <w:pPr>
        <w:pStyle w:val="Ttulo2"/>
      </w:pPr>
      <w:r>
        <w:t xml:space="preserve">4.1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que pudessem ser usadas para limitar a variação das variáveis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w:t>
      </w:r>
      <w:r>
        <w:t xml:space="preserve"> </w:t>
      </w:r>
      <w:r>
        <w:rPr>
          <w:bCs/>
          <w:b/>
        </w:rPr>
        <w:t xml:space="preserve">(</w:t>
      </w:r>
      <w:r>
        <w:rPr>
          <w:bCs/>
          <w:b/>
          <w:bCs/>
          <w:b/>
        </w:rPr>
        <w:t xml:space="preserve">citação?</w:t>
      </w:r>
      <w:r>
        <w:rPr>
          <w:bCs/>
          <w:b/>
        </w:rPr>
        <w:t xml:space="preserve">)</w:t>
      </w:r>
      <w:r>
        <w:t xml:space="preserve">). A classificação por unidades geológicas consistia em um número muito grande de categorias para o Brasil (aproximadamente 1350), por esse motivo utilizamos um agrupamento dessas categorias por</w:t>
      </w:r>
      <w:r>
        <w:t xml:space="preserve"> </w:t>
      </w:r>
      <w:r>
        <w:rPr>
          <w:bCs/>
          <w:b/>
        </w:rPr>
        <w:t xml:space="preserve">Domínios Geológicos</w:t>
      </w:r>
      <w:r>
        <w:t xml:space="preserve"> </w:t>
      </w:r>
      <w:r>
        <w:t xml:space="preserve">(14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consistem em unidades biogeográficas que compartilhem comunidades naturais de espécies, dinâmicas naturais e condições ambientais</w:t>
      </w:r>
      <w:r>
        <w:t xml:space="preserve"> </w:t>
      </w:r>
      <w:r>
        <w:t xml:space="preserve">(</w:t>
      </w:r>
      <w:r>
        <w:rPr>
          <w:bCs/>
          <w:b/>
        </w:rPr>
        <w:t xml:space="preserve">citação?</w:t>
      </w:r>
      <w:r>
        <w:t xml:space="preserve">)</w:t>
      </w:r>
      <w:r>
        <w:t xml:space="preserve">. Nós utilizamos a classificação da Terrestrial Ecoregions of the World (TEOW), que é uma regionalização biogeográfica da biodiversidade terrestre realizada pela WWF</w:t>
      </w:r>
      <w:r>
        <w:t xml:space="preserve"> </w:t>
      </w:r>
      <w:r>
        <w:t xml:space="preserve">(</w:t>
      </w:r>
      <w:r>
        <w:rPr>
          <w:bCs/>
          <w:b/>
        </w:rPr>
        <w:t xml:space="preserve">citação?</w:t>
      </w:r>
      <w:r>
        <w:t xml:space="preserve">)</w:t>
      </w:r>
      <w:r>
        <w:t xml:space="preserve">. Para o Brasil existem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representam os domínios geológicos e</w:t>
      </w:r>
      <w:r>
        <w:t xml:space="preserve"> </w:t>
      </w:r>
      <w:r>
        <w:rPr>
          <w:bCs/>
          <w:b/>
        </w:rPr>
        <w:t xml:space="preserve">EE</w:t>
      </w:r>
      <w:r>
        <w:t xml:space="preserve"> </w:t>
      </w:r>
      <w:r>
        <w:t xml:space="preserve">as categorias de ecoregiões.</w:t>
      </w:r>
      <w:r>
        <w:t xml:space="preserve"> </w:t>
      </w:r>
    </w:p>
    <w:bookmarkEnd w:id="38"/>
    <w:bookmarkStart w:id="57" w:name="resiliência-da-paisagem"/>
    <w:p>
      <w:pPr>
        <w:pStyle w:val="Ttulo2"/>
      </w:pPr>
      <w:r>
        <w:t xml:space="preserve">4.2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metros e foram reprojetadas para o</w:t>
      </w:r>
      <w:r>
        <w:t xml:space="preserve"> </w:t>
      </w:r>
      <w:r>
        <w:rPr>
          <w:iCs/>
          <w:i/>
        </w:rPr>
        <w:t xml:space="preserve">DATUM WGS84</w:t>
      </w:r>
      <w:r>
        <w:t xml:space="preserve">.</w:t>
      </w:r>
    </w:p>
    <w:bookmarkStart w:id="51" w:name="diversidade-da-paisagem-1"/>
    <w:p>
      <w:pPr>
        <w:pStyle w:val="Ttulo3"/>
      </w:pPr>
      <w:r>
        <w:t xml:space="preserve">4.2.1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formas-de-relevo">
        <w:r>
          <w:rPr>
            <w:rStyle w:val="Hipervnculo"/>
            <w:bCs/>
            <w:b/>
          </w:rPr>
          <w:t xml:space="preserve">Variedade de Formas de Relevo</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densidade-de-banhados">
        <w:r>
          <w:rPr>
            <w:rStyle w:val="Hipervnculo"/>
            <w:bCs/>
            <w:b/>
          </w:rPr>
          <w:t xml:space="preserve">Densidade de Banhados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com que nossas análises sejam de livre acesso e que contribuam para uma ciência mais transparente e livre</w:t>
      </w:r>
      <w:r>
        <w:t xml:space="preserve"> </w:t>
      </w:r>
      <w:r>
        <w:t xml:space="preserve">(</w:t>
      </w:r>
      <w:r>
        <w:rPr>
          <w:bCs/>
          <w:b/>
        </w:rPr>
        <w:t xml:space="preserve">citação?</w:t>
      </w:r>
      <w:r>
        <w:t xml:space="preserve">)</w:t>
      </w:r>
      <w:r>
        <w:t xml:space="preserve">.</w:t>
      </w:r>
    </w:p>
    <w:bookmarkStart w:id="47" w:name="formas-de-relevo"/>
    <w:p>
      <w:pPr>
        <w:pStyle w:val="Ttulo4"/>
      </w:pPr>
      <w:r>
        <w:t xml:space="preserve">4.2.1.1 Formas de Relevo</w:t>
      </w:r>
    </w:p>
    <w:p>
      <w:pPr>
        <w:pStyle w:val="FirstParagraph"/>
      </w:pPr>
      <w:r>
        <w:t xml:space="preserve">A classificação e distribuição espacial das 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w:t>
      </w:r>
      <w:r>
        <w:rPr>
          <w:bCs/>
          <w:b/>
        </w:rPr>
        <w:t xml:space="preserve">citação?</w:t>
      </w:r>
      <w:r>
        <w:t xml:space="preserve">)</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w:t>
      </w:r>
      <w:r>
        <w:rPr>
          <w:bCs/>
          <w:b/>
        </w:rPr>
        <w:t xml:space="preserve">citação?</w:t>
      </w:r>
      <w:r>
        <w:t xml:space="preserve">)</w:t>
      </w:r>
      <w:r>
        <w:t xml:space="preserve">.</w:t>
      </w:r>
    </w:p>
    <w:p>
      <w:pPr>
        <w:pStyle w:val="Textoindependiente"/>
      </w:pPr>
      <w:r>
        <w:t xml:space="preserve">Nossa metodologia de classificação de formas de relevo foi baseada em estudos prévios executados pela equipe de</w:t>
      </w:r>
      <w:r>
        <w:t xml:space="preserve"> </w:t>
      </w:r>
      <w:r>
        <w:rPr>
          <w:bCs/>
          <w:b/>
        </w:rPr>
        <w:t xml:space="preserve">Ciências da TNC Global</w:t>
      </w:r>
      <w:r>
        <w:t xml:space="preserve">, publicada inicialmente em 2014</w:t>
      </w:r>
      <w:r>
        <w:t xml:space="preserve"> </w:t>
      </w:r>
      <w:r>
        <w:t xml:space="preserve">(</w:t>
      </w:r>
      <w:r>
        <w:rPr>
          <w:bCs/>
          <w:b/>
        </w:rPr>
        <w:t xml:space="preserve">citação?</w:t>
      </w:r>
      <w:r>
        <w:t xml:space="preserve">)</w:t>
      </w:r>
      <w:r>
        <w:t xml:space="preserve"> </w:t>
      </w:r>
      <w:r>
        <w:t xml:space="preserve">e refinada em 2016</w:t>
      </w:r>
      <w:r>
        <w:t xml:space="preserve"> </w:t>
      </w:r>
      <w:r>
        <w:t xml:space="preserve">(</w:t>
      </w:r>
      <w:r>
        <w:rPr>
          <w:bCs/>
          <w:b/>
        </w:rPr>
        <w:t xml:space="preserve">citação?</w:t>
      </w:r>
      <w:r>
        <w:t xml:space="preserve"> </w:t>
      </w:r>
      <w:r>
        <w:t xml:space="preserve">dos dois relatórios)</w:t>
      </w:r>
      <w:r>
        <w:t xml:space="preserve">.</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w:t>
      </w:r>
      <w:r>
        <w:rPr>
          <w:bCs/>
          <w:b/>
        </w:rPr>
        <w:t xml:space="preserve">citação?</w:t>
      </w:r>
      <w:r>
        <w:t xml:space="preserve">)</w:t>
      </w:r>
      <w:r>
        <w:t xml:space="preserve">, em uma escala de 90 metros. Escolhemos utilizar esse DEM por ser um produto em escala global, de livre acesso e com correções de vários viéses de modelos de elevação, que possibilitam que nosso trabalho seja replicável e mais próximo a realidade dos biomas que modelamos</w:t>
      </w:r>
      <w:r>
        <w:t xml:space="preserve"> </w:t>
      </w:r>
      <w:r>
        <w:t xml:space="preserve">(</w:t>
      </w:r>
      <w:r>
        <w:rPr>
          <w:bCs/>
          <w:b/>
        </w:rPr>
        <w:t xml:space="preserve">citação?</w:t>
      </w:r>
      <w:r>
        <w:t xml:space="preserve">)</w:t>
      </w:r>
      <w:r>
        <w:t xml:space="preserve">.</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w:t>
      </w:r>
      <w:r>
        <w:rPr>
          <w:bCs/>
          <w:b/>
        </w:rPr>
        <w:t xml:space="preserve">citação?</w:t>
      </w:r>
      <w:r>
        <w:t xml:space="preserve">)</w:t>
      </w:r>
      <w:r>
        <w:t xml:space="preserve"> </w:t>
      </w:r>
      <w:r>
        <w:t xml:space="preserve">que é um produto derivado do Merit-DEM e que possibilita o cálculo do acúmulo de fluxo em uma escala glogal e corrigada para o efeito da densidade de árvores no cálculo da rede hidrográfica da região</w:t>
      </w:r>
      <w:r>
        <w:t xml:space="preserve"> </w:t>
      </w:r>
      <w:r>
        <w:t xml:space="preserve">(</w:t>
      </w:r>
      <w:r>
        <w:rPr>
          <w:bCs/>
          <w:b/>
        </w:rPr>
        <w:t xml:space="preserve">citação?</w:t>
      </w:r>
      <w:r>
        <w:t xml:space="preserve">)</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w:t>
      </w:r>
      <w:r>
        <w:t xml:space="preserve"> </w:t>
      </w:r>
      <w:r>
        <w:t xml:space="preserve">(</w:t>
      </w:r>
      <w:r>
        <w:rPr>
          <w:bCs/>
          <w:b/>
        </w:rPr>
        <w:t xml:space="preserve">citação?</w:t>
      </w:r>
      <w:r>
        <w:t xml:space="preserve">)</w:t>
      </w:r>
      <w:r>
        <w:t xml:space="preserve">. O MapBiomas é um projeto nacional de mapeamento e classificação de mudanças do uso do solo dos últimos 30 anos a partir de dados de sensoriamento remoto.</w:t>
      </w:r>
    </w:p>
    <w:bookmarkStart w:id="39" w:name="índice-de-posição-topográfica-tpi"/>
    <w:p>
      <w:pPr>
        <w:pStyle w:val="Ttulo5"/>
      </w:pPr>
      <w:r>
        <w:t xml:space="preserve">4.2.1.1.1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39"/>
    <w:bookmarkStart w:id="40" w:name="orientação-do-relevo"/>
    <w:p>
      <w:pPr>
        <w:pStyle w:val="Ttulo5"/>
      </w:pPr>
      <w:r>
        <w:t xml:space="preserve">4.2.1.1.2 Orientação do relevo</w:t>
      </w:r>
    </w:p>
    <w:p>
      <w:pPr>
        <w:pStyle w:val="FirstParagraph"/>
      </w:pPr>
      <w:r>
        <w:t xml:space="preserve">A</w:t>
      </w:r>
      <w:r>
        <w:t xml:space="preserve"> </w:t>
      </w:r>
      <w:r>
        <w:rPr>
          <w:bCs/>
          <w:b/>
        </w:rPr>
        <w:t xml:space="preserve">orientação do relevo</w:t>
      </w:r>
      <w:r>
        <w:t xml:space="preserve"> </w:t>
      </w:r>
      <w:r>
        <w:t xml:space="preserve">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foram classificados como</w:t>
      </w:r>
      <w:r>
        <w:t xml:space="preserve"> </w:t>
      </w:r>
      <w:r>
        <w:rPr>
          <w:bCs/>
          <w:b/>
        </w:rPr>
        <w:t xml:space="preserve">faces quentes</w:t>
      </w:r>
      <w:r>
        <w:t xml:space="preserve">.</w:t>
      </w:r>
    </w:p>
    <w:bookmarkEnd w:id="40"/>
    <w:bookmarkStart w:id="42" w:name="inclinação-do-relevo"/>
    <w:p>
      <w:pPr>
        <w:pStyle w:val="Ttulo5"/>
      </w:pPr>
      <w:r>
        <w:t xml:space="preserve">4.2.1.1.3 Inclinação do Relevo</w:t>
      </w:r>
    </w:p>
    <w:p>
      <w:pPr>
        <w:pStyle w:val="FirstParagraph"/>
      </w:pPr>
      <w:r>
        <w:t xml:space="preserve">A</w:t>
      </w:r>
      <w:r>
        <w:t xml:space="preserve"> </w:t>
      </w:r>
      <w:r>
        <w:rPr>
          <w:bCs/>
          <w:b/>
        </w:rPr>
        <w:t xml:space="preserve">inclinação do relevo</w:t>
      </w:r>
      <w:r>
        <w:t xml:space="preserve"> </w:t>
      </w:r>
      <w:r>
        <w:t xml:space="preserve">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4.1</w:t>
        </w:r>
      </w:hyperlink>
      <w:r>
        <w:t xml:space="preserve">).</w:t>
      </w:r>
    </w:p>
    <w:bookmarkStart w:id="41" w:name="tbl-inclinacao"/>
    <w:p>
      <w:pPr>
        <w:pStyle w:val="TableCaption"/>
      </w:pPr>
      <w:r>
        <w:t xml:space="preserve">Tabela 4.1: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4.1: Classes de declividade usadas para a classificação de landforms"/>
      </w:tblPr>
      <w:tblGrid>
        <w:gridCol w:w="3960"/>
        <w:gridCol w:w="3960"/>
      </w:tblGrid>
      <w:tr>
        <w:trPr>
          <w:tblHeader w:val="true"/>
        </w:trPr>
        <w:tc>
          <w:tcPr/>
          <w:p>
            <w:pPr>
              <w:pStyle w:val="Compact"/>
              <w:jc w:val="left"/>
            </w:pPr>
            <w:r>
              <w:t xml:space="preserve">Inclinação</w:t>
            </w:r>
          </w:p>
        </w:tc>
        <w:tc>
          <w:tcPr/>
          <w:p>
            <w:pPr>
              <w:pStyle w:val="Compact"/>
              <w:jc w:val="left"/>
            </w:pPr>
            <w:r>
              <w:t xml:space="preserve">Grupo</w:t>
            </w:r>
          </w:p>
        </w:tc>
      </w:tr>
      <w:tr>
        <w:tc>
          <w:tcPr/>
          <w:p>
            <w:pPr>
              <w:pStyle w:val="Compact"/>
              <w:jc w:val="left"/>
            </w:pPr>
            <w:r>
              <w:t xml:space="preserve">0º a 2º</w:t>
            </w:r>
          </w:p>
        </w:tc>
        <w:tc>
          <w:tcPr/>
          <w:p>
            <w:pPr>
              <w:pStyle w:val="Compact"/>
              <w:jc w:val="left"/>
            </w:pPr>
            <w:r>
              <w:t xml:space="preserve">1</w:t>
            </w:r>
          </w:p>
        </w:tc>
      </w:tr>
      <w:tr>
        <w:tc>
          <w:tcPr/>
          <w:p>
            <w:pPr>
              <w:pStyle w:val="Compact"/>
              <w:jc w:val="left"/>
            </w:pPr>
            <w:r>
              <w:t xml:space="preserve">2º a 6º</w:t>
            </w:r>
          </w:p>
        </w:tc>
        <w:tc>
          <w:tcPr/>
          <w:p>
            <w:pPr>
              <w:pStyle w:val="Compact"/>
              <w:jc w:val="left"/>
            </w:pPr>
            <w:r>
              <w:t xml:space="preserve">2</w:t>
            </w:r>
          </w:p>
        </w:tc>
      </w:tr>
      <w:tr>
        <w:tc>
          <w:tcPr/>
          <w:p>
            <w:pPr>
              <w:pStyle w:val="Compact"/>
              <w:jc w:val="left"/>
            </w:pPr>
            <w:r>
              <w:t xml:space="preserve">6º a 24º</w:t>
            </w:r>
          </w:p>
        </w:tc>
        <w:tc>
          <w:tcPr/>
          <w:p>
            <w:pPr>
              <w:pStyle w:val="Compact"/>
              <w:jc w:val="left"/>
            </w:pPr>
            <w:r>
              <w:t xml:space="preserve">3</w:t>
            </w:r>
          </w:p>
        </w:tc>
      </w:tr>
      <w:tr>
        <w:tc>
          <w:tcPr/>
          <w:p>
            <w:pPr>
              <w:pStyle w:val="Compact"/>
              <w:jc w:val="left"/>
            </w:pPr>
            <w:r>
              <w:t xml:space="preserve">24º a 35º</w:t>
            </w:r>
          </w:p>
        </w:tc>
        <w:tc>
          <w:tcPr/>
          <w:p>
            <w:pPr>
              <w:pStyle w:val="Compact"/>
              <w:jc w:val="left"/>
            </w:pPr>
            <w:r>
              <w:t xml:space="preserve">4</w:t>
            </w:r>
          </w:p>
        </w:tc>
      </w:tr>
      <w:tr>
        <w:tc>
          <w:tcPr/>
          <w:p>
            <w:pPr>
              <w:pStyle w:val="Compact"/>
              <w:jc w:val="left"/>
            </w:pPr>
            <w:r>
              <w:t xml:space="preserve">35º a 90º</w:t>
            </w:r>
          </w:p>
        </w:tc>
        <w:tc>
          <w:tcPr/>
          <w:p>
            <w:pPr>
              <w:pStyle w:val="Compact"/>
              <w:jc w:val="left"/>
            </w:pPr>
            <w:r>
              <w:t xml:space="preserve">5</w:t>
            </w:r>
          </w:p>
        </w:tc>
      </w:tr>
    </w:tbl>
    <w:bookmarkEnd w:id="41"/>
    <w:bookmarkEnd w:id="42"/>
    <w:bookmarkStart w:id="45" w:name="índice-de-umidade"/>
    <w:p>
      <w:pPr>
        <w:pStyle w:val="Ttulo5"/>
      </w:pPr>
      <w:r>
        <w:t xml:space="preserve">4.2.1.1.4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pudessemos capturar a distribuição dos cursos d’água sem superestimar outras áreas planas. Porém, esse corte do índice não consegue classificar bem corpos de água com grandes extensões (Amazonas, represas e grandes lagos), por isso nós corrigimos a classificação sobrepondo a camada do índice de umidade com a camada de águas do MapBiomas.</w:t>
      </w:r>
      <w:r>
        <w:t xml:space="preserve"> </w:t>
      </w:r>
      <w:r>
        <w:t xml:space="preserve">##### Combinando as variáveis e Classificando as formas de relevo</w:t>
      </w:r>
      <w:r>
        <w:t xml:space="preserve"> </w:t>
      </w: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 Por exemplo, o código 11 representa áreas de baixa inclinação do relevo e uma posição do relevo mais alta que o entorno, sendo portanto um topo de montanha (Summit). No entanto, alguns códigos tiveram que ser bem inspecionados para separar alguns tipos de landforms como Sideslopes de Valleys e Toeslopes</w:t>
      </w:r>
      <w:r>
        <w:t xml:space="preserve"> </w:t>
      </w:r>
      <w:hyperlink w:anchor="tbl-combinacoes">
        <w:r>
          <w:rPr>
            <w:rStyle w:val="Hipervnculo"/>
          </w:rPr>
          <w:t xml:space="preserve">Tabela 4.2</w:t>
        </w:r>
      </w:hyperlink>
      <w:r>
        <w:t xml:space="preserve">.</w:t>
      </w:r>
    </w:p>
    <w:bookmarkStart w:id="43" w:name="tbl-combinacoes"/>
    <w:p>
      <w:pPr>
        <w:pStyle w:val="TableCaption"/>
      </w:pPr>
      <w:r>
        <w:t xml:space="preserve">Tabela 4.2: Combinações entre as variáveis para classificar as formas de relevo</w:t>
      </w:r>
    </w:p>
    <w:tbl>
      <w:tblPr>
        <w:tblStyle w:val="Table"/>
        <w:tblW w:type="auto" w:w="0"/>
        <w:tblLook w:firstRow="1" w:lastRow="0" w:firstColumn="0" w:lastColumn="0" w:noHBand="0" w:noVBand="0" w:val="0020"/>
        <w:jc w:val="start"/>
        <w:tblCaption w:val="Tabela 4.2: Combinações entre as variáveis para classificar as formas de relevo"/>
      </w:tblPr>
      <w:tblGrid>
        <w:gridCol w:w="3960"/>
        <w:gridCol w:w="3960"/>
      </w:tblGrid>
      <w:tr>
        <w:trPr>
          <w:tblHeader w:val="true"/>
        </w:trPr>
        <w:tc>
          <w:tcPr/>
          <w:p>
            <w:pPr>
              <w:pStyle w:val="Compact"/>
              <w:jc w:val="left"/>
            </w:pPr>
            <w:r>
              <w:t xml:space="preserve">Valores da Combinação</w:t>
            </w:r>
          </w:p>
        </w:tc>
        <w:tc>
          <w:tcPr/>
          <w:p>
            <w:pPr>
              <w:pStyle w:val="Compact"/>
              <w:jc w:val="left"/>
            </w:pPr>
            <w:r>
              <w:t xml:space="preserve">Código para Landforms</w:t>
            </w:r>
          </w:p>
        </w:tc>
      </w:tr>
      <w:tr>
        <w:tc>
          <w:tcPr/>
          <w:p>
            <w:pPr>
              <w:pStyle w:val="Compact"/>
              <w:jc w:val="left"/>
            </w:pPr>
            <w:r>
              <w:t xml:space="preserve">10</w:t>
            </w:r>
          </w:p>
        </w:tc>
        <w:tc>
          <w:tcPr/>
          <w:p>
            <w:pPr>
              <w:pStyle w:val="Compact"/>
              <w:jc w:val="left"/>
            </w:pPr>
            <w:r>
              <w:t xml:space="preserve">11</w:t>
            </w:r>
          </w:p>
        </w:tc>
      </w:tr>
      <w:tr>
        <w:tc>
          <w:tcPr/>
          <w:p>
            <w:pPr>
              <w:pStyle w:val="Compact"/>
              <w:jc w:val="left"/>
            </w:pPr>
            <w:r>
              <w:t xml:space="preserve">11</w:t>
            </w:r>
          </w:p>
        </w:tc>
        <w:tc>
          <w:tcPr/>
          <w:p>
            <w:pPr>
              <w:pStyle w:val="Compact"/>
              <w:jc w:val="left"/>
            </w:pPr>
            <w:r>
              <w:t xml:space="preserve">11</w:t>
            </w:r>
          </w:p>
        </w:tc>
      </w:tr>
      <w:tr>
        <w:tc>
          <w:tcPr/>
          <w:p>
            <w:pPr>
              <w:pStyle w:val="Compact"/>
              <w:jc w:val="left"/>
            </w:pPr>
            <w:r>
              <w:t xml:space="preserve">12</w:t>
            </w:r>
          </w:p>
        </w:tc>
        <w:tc>
          <w:tcPr/>
          <w:p>
            <w:pPr>
              <w:pStyle w:val="Compact"/>
              <w:jc w:val="left"/>
            </w:pPr>
            <w:r>
              <w:t xml:space="preserve">11</w:t>
            </w:r>
          </w:p>
        </w:tc>
      </w:tr>
      <w:tr>
        <w:tc>
          <w:tcPr/>
          <w:p>
            <w:pPr>
              <w:pStyle w:val="Compact"/>
              <w:jc w:val="left"/>
            </w:pPr>
            <w:r>
              <w:t xml:space="preserve">13</w:t>
            </w:r>
          </w:p>
        </w:tc>
        <w:tc>
          <w:tcPr/>
          <w:p>
            <w:pPr>
              <w:pStyle w:val="Compact"/>
              <w:jc w:val="left"/>
            </w:pPr>
            <w:r>
              <w:t xml:space="preserve">13</w:t>
            </w:r>
          </w:p>
        </w:tc>
      </w:tr>
      <w:tr>
        <w:tc>
          <w:tcPr/>
          <w:p>
            <w:pPr>
              <w:pStyle w:val="Compact"/>
              <w:jc w:val="left"/>
            </w:pPr>
            <w:r>
              <w:t xml:space="preserve">14</w:t>
            </w:r>
          </w:p>
        </w:tc>
        <w:tc>
          <w:tcPr/>
          <w:p>
            <w:pPr>
              <w:pStyle w:val="Compact"/>
              <w:jc w:val="left"/>
            </w:pPr>
            <w:r>
              <w:t xml:space="preserve">11</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20</w:t>
            </w:r>
          </w:p>
        </w:tc>
        <w:tc>
          <w:tcPr/>
          <w:p>
            <w:pPr>
              <w:pStyle w:val="Compact"/>
              <w:jc w:val="left"/>
            </w:pPr>
            <w:r>
              <w:t xml:space="preserve">21</w:t>
            </w:r>
          </w:p>
        </w:tc>
      </w:tr>
      <w:tr>
        <w:tc>
          <w:tcPr/>
          <w:p>
            <w:pPr>
              <w:pStyle w:val="Compact"/>
              <w:jc w:val="left"/>
            </w:pPr>
            <w:r>
              <w:t xml:space="preserve">21</w:t>
            </w:r>
          </w:p>
        </w:tc>
        <w:tc>
          <w:tcPr/>
          <w:p>
            <w:pPr>
              <w:pStyle w:val="Compact"/>
              <w:jc w:val="left"/>
            </w:pPr>
            <w:r>
              <w:t xml:space="preserve">21</w:t>
            </w:r>
          </w:p>
        </w:tc>
      </w:tr>
      <w:tr>
        <w:tc>
          <w:tcPr/>
          <w:p>
            <w:pPr>
              <w:pStyle w:val="Compact"/>
              <w:jc w:val="left"/>
            </w:pPr>
            <w:r>
              <w:t xml:space="preserve">22</w:t>
            </w:r>
          </w:p>
        </w:tc>
        <w:tc>
          <w:tcPr/>
          <w:p>
            <w:pPr>
              <w:pStyle w:val="Compact"/>
              <w:jc w:val="left"/>
            </w:pPr>
            <w:r>
              <w:t xml:space="preserve">22</w:t>
            </w:r>
          </w:p>
        </w:tc>
      </w:tr>
      <w:tr>
        <w:tc>
          <w:tcPr/>
          <w:p>
            <w:pPr>
              <w:pStyle w:val="Compact"/>
              <w:jc w:val="left"/>
            </w:pPr>
            <w:r>
              <w:t xml:space="preserve">23</w:t>
            </w:r>
          </w:p>
        </w:tc>
        <w:tc>
          <w:tcPr/>
          <w:p>
            <w:pPr>
              <w:pStyle w:val="Compact"/>
              <w:jc w:val="left"/>
            </w:pPr>
            <w:r>
              <w:t xml:space="preserve">24</w:t>
            </w:r>
          </w:p>
        </w:tc>
      </w:tr>
      <w:tr>
        <w:tc>
          <w:tcPr/>
          <w:p>
            <w:pPr>
              <w:pStyle w:val="Compact"/>
              <w:jc w:val="left"/>
            </w:pPr>
            <w:r>
              <w:t xml:space="preserve">24</w:t>
            </w:r>
          </w:p>
        </w:tc>
        <w:tc>
          <w:tcPr/>
          <w:p>
            <w:pPr>
              <w:pStyle w:val="Compact"/>
              <w:jc w:val="left"/>
            </w:pPr>
            <w:r>
              <w:t xml:space="preserve">24</w:t>
            </w:r>
          </w:p>
        </w:tc>
      </w:tr>
      <w:tr>
        <w:tc>
          <w:tcPr/>
          <w:p>
            <w:pPr>
              <w:pStyle w:val="Compact"/>
              <w:jc w:val="left"/>
            </w:pPr>
            <w:r>
              <w:t xml:space="preserve">25</w:t>
            </w:r>
          </w:p>
        </w:tc>
        <w:tc>
          <w:tcPr/>
          <w:p>
            <w:pPr>
              <w:pStyle w:val="Compact"/>
              <w:jc w:val="left"/>
            </w:pPr>
            <w:r>
              <w:t xml:space="preserve">5</w:t>
            </w:r>
          </w:p>
        </w:tc>
      </w:tr>
      <w:tr>
        <w:tc>
          <w:tcPr/>
          <w:p>
            <w:pPr>
              <w:pStyle w:val="Compact"/>
              <w:jc w:val="left"/>
            </w:pPr>
            <w:r>
              <w:t xml:space="preserve">31</w:t>
            </w:r>
          </w:p>
        </w:tc>
        <w:tc>
          <w:tcPr/>
          <w:p>
            <w:pPr>
              <w:pStyle w:val="Compact"/>
              <w:jc w:val="left"/>
            </w:pPr>
            <w:r>
              <w:t xml:space="preserve">30</w:t>
            </w:r>
          </w:p>
        </w:tc>
      </w:tr>
      <w:tr>
        <w:tc>
          <w:tcPr/>
          <w:p>
            <w:pPr>
              <w:pStyle w:val="Compact"/>
              <w:jc w:val="left"/>
            </w:pPr>
            <w:r>
              <w:t xml:space="preserve">32</w:t>
            </w:r>
          </w:p>
        </w:tc>
        <w:tc>
          <w:tcPr/>
          <w:p>
            <w:pPr>
              <w:pStyle w:val="Compact"/>
              <w:jc w:val="left"/>
            </w:pPr>
            <w:r>
              <w:t xml:space="preserve">32</w:t>
            </w:r>
          </w:p>
        </w:tc>
      </w:tr>
      <w:tr>
        <w:tc>
          <w:tcPr/>
          <w:p>
            <w:pPr>
              <w:pStyle w:val="Compact"/>
              <w:jc w:val="left"/>
            </w:pPr>
            <w:r>
              <w:t xml:space="preserve">33</w:t>
            </w:r>
          </w:p>
        </w:tc>
        <w:tc>
          <w:tcPr/>
          <w:p>
            <w:pPr>
              <w:pStyle w:val="Compact"/>
              <w:jc w:val="left"/>
            </w:pPr>
            <w:r>
              <w:t xml:space="preserve">24</w:t>
            </w:r>
          </w:p>
        </w:tc>
      </w:tr>
      <w:tr>
        <w:tc>
          <w:tcPr/>
          <w:p>
            <w:pPr>
              <w:pStyle w:val="Compact"/>
              <w:jc w:val="left"/>
            </w:pPr>
            <w:r>
              <w:t xml:space="preserve">34</w:t>
            </w:r>
          </w:p>
        </w:tc>
        <w:tc>
          <w:tcPr/>
          <w:p>
            <w:pPr>
              <w:pStyle w:val="Compact"/>
              <w:jc w:val="left"/>
            </w:pPr>
            <w:r>
              <w:t xml:space="preserve">24</w:t>
            </w:r>
          </w:p>
        </w:tc>
      </w:tr>
      <w:tr>
        <w:tc>
          <w:tcPr/>
          <w:p>
            <w:pPr>
              <w:pStyle w:val="Compact"/>
              <w:jc w:val="left"/>
            </w:pPr>
            <w:r>
              <w:t xml:space="preserve">35</w:t>
            </w:r>
          </w:p>
        </w:tc>
        <w:tc>
          <w:tcPr/>
          <w:p>
            <w:pPr>
              <w:pStyle w:val="Compact"/>
              <w:jc w:val="left"/>
            </w:pPr>
            <w:r>
              <w:t xml:space="preserve">5</w:t>
            </w:r>
          </w:p>
        </w:tc>
      </w:tr>
      <w:tr>
        <w:tc>
          <w:tcPr/>
          <w:p>
            <w:pPr>
              <w:pStyle w:val="Compact"/>
              <w:jc w:val="left"/>
            </w:pPr>
            <w:r>
              <w:t xml:space="preserve">40</w:t>
            </w:r>
          </w:p>
        </w:tc>
        <w:tc>
          <w:tcPr/>
          <w:p>
            <w:pPr>
              <w:pStyle w:val="Compact"/>
              <w:jc w:val="left"/>
            </w:pPr>
            <w:r>
              <w:t xml:space="preserve">32</w:t>
            </w:r>
          </w:p>
        </w:tc>
      </w:tr>
      <w:tr>
        <w:tc>
          <w:tcPr/>
          <w:p>
            <w:pPr>
              <w:pStyle w:val="Compact"/>
              <w:jc w:val="left"/>
            </w:pPr>
            <w:r>
              <w:t xml:space="preserve">41</w:t>
            </w:r>
          </w:p>
        </w:tc>
        <w:tc>
          <w:tcPr/>
          <w:p>
            <w:pPr>
              <w:pStyle w:val="Compact"/>
              <w:jc w:val="left"/>
            </w:pPr>
            <w:r>
              <w:t xml:space="preserve">32</w:t>
            </w:r>
          </w:p>
        </w:tc>
      </w:tr>
      <w:tr>
        <w:tc>
          <w:tcPr/>
          <w:p>
            <w:pPr>
              <w:pStyle w:val="Compact"/>
              <w:jc w:val="left"/>
            </w:pPr>
            <w:r>
              <w:t xml:space="preserve">42</w:t>
            </w:r>
          </w:p>
        </w:tc>
        <w:tc>
          <w:tcPr/>
          <w:p>
            <w:pPr>
              <w:pStyle w:val="Compact"/>
              <w:jc w:val="left"/>
            </w:pPr>
            <w:r>
              <w:t xml:space="preserve">32</w:t>
            </w:r>
          </w:p>
        </w:tc>
      </w:tr>
      <w:tr>
        <w:tc>
          <w:tcPr/>
          <w:p>
            <w:pPr>
              <w:pStyle w:val="Compact"/>
              <w:jc w:val="left"/>
            </w:pPr>
            <w:r>
              <w:t xml:space="preserve">43</w:t>
            </w:r>
          </w:p>
        </w:tc>
        <w:tc>
          <w:tcPr/>
          <w:p>
            <w:pPr>
              <w:pStyle w:val="Compact"/>
              <w:jc w:val="left"/>
            </w:pPr>
            <w:r>
              <w:t xml:space="preserve">43</w:t>
            </w:r>
          </w:p>
        </w:tc>
      </w:tr>
      <w:tr>
        <w:tc>
          <w:tcPr/>
          <w:p>
            <w:pPr>
              <w:pStyle w:val="Compact"/>
              <w:jc w:val="left"/>
            </w:pPr>
            <w:r>
              <w:t xml:space="preserve">44</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5</w:t>
            </w:r>
          </w:p>
        </w:tc>
      </w:tr>
      <w:tr>
        <w:tc>
          <w:tcPr/>
          <w:p>
            <w:pPr>
              <w:pStyle w:val="Compact"/>
              <w:jc w:val="left"/>
            </w:pPr>
            <w:r>
              <w:t xml:space="preserve">51</w:t>
            </w:r>
          </w:p>
        </w:tc>
        <w:tc>
          <w:tcPr/>
          <w:p>
            <w:pPr>
              <w:pStyle w:val="Compact"/>
              <w:jc w:val="left"/>
            </w:pPr>
            <w:r>
              <w:t xml:space="preserve">51</w:t>
            </w:r>
          </w:p>
        </w:tc>
      </w:tr>
      <w:tr>
        <w:tc>
          <w:tcPr/>
          <w:p>
            <w:pPr>
              <w:pStyle w:val="Compact"/>
              <w:jc w:val="left"/>
            </w:pPr>
            <w:r>
              <w:t xml:space="preserve">111</w:t>
            </w:r>
          </w:p>
        </w:tc>
        <w:tc>
          <w:tcPr/>
          <w:p>
            <w:pPr>
              <w:pStyle w:val="Compact"/>
              <w:jc w:val="left"/>
            </w:pPr>
            <w:r>
              <w:t xml:space="preserve">11</w:t>
            </w:r>
          </w:p>
        </w:tc>
      </w:tr>
      <w:tr>
        <w:tc>
          <w:tcPr/>
          <w:p>
            <w:pPr>
              <w:pStyle w:val="Compact"/>
              <w:jc w:val="left"/>
            </w:pPr>
            <w:r>
              <w:t xml:space="preserve">112</w:t>
            </w:r>
          </w:p>
        </w:tc>
        <w:tc>
          <w:tcPr/>
          <w:p>
            <w:pPr>
              <w:pStyle w:val="Compact"/>
              <w:jc w:val="left"/>
            </w:pPr>
            <w:r>
              <w:t xml:space="preserve">11</w:t>
            </w:r>
          </w:p>
        </w:tc>
      </w:tr>
      <w:tr>
        <w:tc>
          <w:tcPr/>
          <w:p>
            <w:pPr>
              <w:pStyle w:val="Compact"/>
              <w:jc w:val="left"/>
            </w:pPr>
            <w:r>
              <w:t xml:space="preserve">113</w:t>
            </w:r>
          </w:p>
        </w:tc>
        <w:tc>
          <w:tcPr/>
          <w:p>
            <w:pPr>
              <w:pStyle w:val="Compact"/>
              <w:jc w:val="left"/>
            </w:pPr>
            <w:r>
              <w:t xml:space="preserve">13</w:t>
            </w:r>
          </w:p>
        </w:tc>
      </w:tr>
      <w:tr>
        <w:tc>
          <w:tcPr/>
          <w:p>
            <w:pPr>
              <w:pStyle w:val="Compact"/>
              <w:jc w:val="left"/>
            </w:pPr>
            <w:r>
              <w:t xml:space="preserve">114</w:t>
            </w:r>
          </w:p>
        </w:tc>
        <w:tc>
          <w:tcPr/>
          <w:p>
            <w:pPr>
              <w:pStyle w:val="Compact"/>
              <w:jc w:val="left"/>
            </w:pPr>
            <w:r>
              <w:t xml:space="preserve">3</w:t>
            </w:r>
          </w:p>
        </w:tc>
      </w:tr>
      <w:tr>
        <w:tc>
          <w:tcPr/>
          <w:p>
            <w:pPr>
              <w:pStyle w:val="Compact"/>
              <w:jc w:val="left"/>
            </w:pPr>
            <w:r>
              <w:t xml:space="preserve">115</w:t>
            </w:r>
          </w:p>
        </w:tc>
        <w:tc>
          <w:tcPr/>
          <w:p>
            <w:pPr>
              <w:pStyle w:val="Compact"/>
              <w:jc w:val="left"/>
            </w:pPr>
            <w:r>
              <w:t xml:space="preserve">5</w:t>
            </w:r>
          </w:p>
        </w:tc>
      </w:tr>
      <w:tr>
        <w:tc>
          <w:tcPr/>
          <w:p>
            <w:pPr>
              <w:pStyle w:val="Compact"/>
              <w:jc w:val="left"/>
            </w:pPr>
            <w:r>
              <w:t xml:space="preserve">121</w:t>
            </w:r>
          </w:p>
        </w:tc>
        <w:tc>
          <w:tcPr/>
          <w:p>
            <w:pPr>
              <w:pStyle w:val="Compact"/>
              <w:jc w:val="left"/>
            </w:pPr>
            <w:r>
              <w:t xml:space="preserve">21</w:t>
            </w:r>
          </w:p>
        </w:tc>
      </w:tr>
      <w:tr>
        <w:tc>
          <w:tcPr/>
          <w:p>
            <w:pPr>
              <w:pStyle w:val="Compact"/>
              <w:jc w:val="left"/>
            </w:pPr>
            <w:r>
              <w:t xml:space="preserve">122</w:t>
            </w:r>
          </w:p>
        </w:tc>
        <w:tc>
          <w:tcPr/>
          <w:p>
            <w:pPr>
              <w:pStyle w:val="Compact"/>
              <w:jc w:val="left"/>
            </w:pPr>
            <w:r>
              <w:t xml:space="preserve">22</w:t>
            </w:r>
          </w:p>
        </w:tc>
      </w:tr>
      <w:tr>
        <w:tc>
          <w:tcPr/>
          <w:p>
            <w:pPr>
              <w:pStyle w:val="Compact"/>
              <w:jc w:val="left"/>
            </w:pPr>
            <w:r>
              <w:t xml:space="preserve">123</w:t>
            </w:r>
          </w:p>
        </w:tc>
        <w:tc>
          <w:tcPr/>
          <w:p>
            <w:pPr>
              <w:pStyle w:val="Compact"/>
              <w:jc w:val="left"/>
            </w:pPr>
            <w:r>
              <w:t xml:space="preserve">23</w:t>
            </w:r>
          </w:p>
        </w:tc>
      </w:tr>
      <w:tr>
        <w:tc>
          <w:tcPr/>
          <w:p>
            <w:pPr>
              <w:pStyle w:val="Compact"/>
              <w:jc w:val="left"/>
            </w:pPr>
            <w:r>
              <w:t xml:space="preserve">124</w:t>
            </w:r>
          </w:p>
        </w:tc>
        <w:tc>
          <w:tcPr/>
          <w:p>
            <w:pPr>
              <w:pStyle w:val="Compact"/>
              <w:jc w:val="left"/>
            </w:pPr>
            <w:r>
              <w:t xml:space="preserve">3</w:t>
            </w:r>
          </w:p>
        </w:tc>
      </w:tr>
      <w:tr>
        <w:tc>
          <w:tcPr/>
          <w:p>
            <w:pPr>
              <w:pStyle w:val="Compact"/>
              <w:jc w:val="left"/>
            </w:pPr>
            <w:r>
              <w:t xml:space="preserve">125</w:t>
            </w:r>
          </w:p>
        </w:tc>
        <w:tc>
          <w:tcPr/>
          <w:p>
            <w:pPr>
              <w:pStyle w:val="Compact"/>
              <w:jc w:val="left"/>
            </w:pPr>
            <w:r>
              <w:t xml:space="preserve">5</w:t>
            </w:r>
          </w:p>
        </w:tc>
      </w:tr>
      <w:tr>
        <w:tc>
          <w:tcPr/>
          <w:p>
            <w:pPr>
              <w:pStyle w:val="Compact"/>
              <w:jc w:val="left"/>
            </w:pPr>
            <w:r>
              <w:t xml:space="preserve">131</w:t>
            </w:r>
          </w:p>
        </w:tc>
        <w:tc>
          <w:tcPr/>
          <w:p>
            <w:pPr>
              <w:pStyle w:val="Compact"/>
              <w:jc w:val="left"/>
            </w:pPr>
            <w:r>
              <w:t xml:space="preserve">30</w:t>
            </w:r>
          </w:p>
        </w:tc>
      </w:tr>
      <w:tr>
        <w:tc>
          <w:tcPr/>
          <w:p>
            <w:pPr>
              <w:pStyle w:val="Compact"/>
              <w:jc w:val="left"/>
            </w:pPr>
            <w:r>
              <w:t xml:space="preserve">132</w:t>
            </w:r>
          </w:p>
        </w:tc>
        <w:tc>
          <w:tcPr/>
          <w:p>
            <w:pPr>
              <w:pStyle w:val="Compact"/>
              <w:jc w:val="left"/>
            </w:pPr>
            <w:r>
              <w:t xml:space="preserve">32</w:t>
            </w:r>
          </w:p>
        </w:tc>
      </w:tr>
      <w:tr>
        <w:tc>
          <w:tcPr/>
          <w:p>
            <w:pPr>
              <w:pStyle w:val="Compact"/>
              <w:jc w:val="left"/>
            </w:pPr>
            <w:r>
              <w:t xml:space="preserve">133</w:t>
            </w:r>
          </w:p>
        </w:tc>
        <w:tc>
          <w:tcPr/>
          <w:p>
            <w:pPr>
              <w:pStyle w:val="Compact"/>
              <w:jc w:val="left"/>
            </w:pPr>
            <w:r>
              <w:t xml:space="preserve">23</w:t>
            </w:r>
          </w:p>
        </w:tc>
      </w:tr>
      <w:tr>
        <w:tc>
          <w:tcPr/>
          <w:p>
            <w:pPr>
              <w:pStyle w:val="Compact"/>
              <w:jc w:val="left"/>
            </w:pPr>
            <w:r>
              <w:t xml:space="preserve">134</w:t>
            </w:r>
          </w:p>
        </w:tc>
        <w:tc>
          <w:tcPr/>
          <w:p>
            <w:pPr>
              <w:pStyle w:val="Compact"/>
              <w:jc w:val="left"/>
            </w:pPr>
            <w:r>
              <w:t xml:space="preserve">3</w:t>
            </w:r>
          </w:p>
        </w:tc>
      </w:tr>
      <w:tr>
        <w:tc>
          <w:tcPr/>
          <w:p>
            <w:pPr>
              <w:pStyle w:val="Compact"/>
              <w:jc w:val="left"/>
            </w:pPr>
            <w:r>
              <w:t xml:space="preserve">135</w:t>
            </w:r>
          </w:p>
        </w:tc>
        <w:tc>
          <w:tcPr/>
          <w:p>
            <w:pPr>
              <w:pStyle w:val="Compact"/>
              <w:jc w:val="left"/>
            </w:pPr>
            <w:r>
              <w:t xml:space="preserve">5</w:t>
            </w:r>
          </w:p>
        </w:tc>
      </w:tr>
      <w:tr>
        <w:tc>
          <w:tcPr/>
          <w:p>
            <w:pPr>
              <w:pStyle w:val="Compact"/>
              <w:jc w:val="left"/>
            </w:pPr>
            <w:r>
              <w:t xml:space="preserve">141</w:t>
            </w:r>
          </w:p>
        </w:tc>
        <w:tc>
          <w:tcPr/>
          <w:p>
            <w:pPr>
              <w:pStyle w:val="Compact"/>
              <w:jc w:val="left"/>
            </w:pPr>
            <w:r>
              <w:t xml:space="preserve">32</w:t>
            </w:r>
          </w:p>
        </w:tc>
      </w:tr>
      <w:tr>
        <w:tc>
          <w:tcPr/>
          <w:p>
            <w:pPr>
              <w:pStyle w:val="Compact"/>
              <w:jc w:val="left"/>
            </w:pPr>
            <w:r>
              <w:t xml:space="preserve">142</w:t>
            </w:r>
          </w:p>
        </w:tc>
        <w:tc>
          <w:tcPr/>
          <w:p>
            <w:pPr>
              <w:pStyle w:val="Compact"/>
              <w:jc w:val="left"/>
            </w:pPr>
            <w:r>
              <w:t xml:space="preserve">32</w:t>
            </w:r>
          </w:p>
        </w:tc>
      </w:tr>
      <w:tr>
        <w:tc>
          <w:tcPr/>
          <w:p>
            <w:pPr>
              <w:pStyle w:val="Compact"/>
              <w:jc w:val="left"/>
            </w:pPr>
            <w:r>
              <w:t xml:space="preserve">143</w:t>
            </w:r>
          </w:p>
        </w:tc>
        <w:tc>
          <w:tcPr/>
          <w:p>
            <w:pPr>
              <w:pStyle w:val="Compact"/>
              <w:jc w:val="left"/>
            </w:pPr>
            <w:r>
              <w:t xml:space="preserve">43</w:t>
            </w:r>
          </w:p>
        </w:tc>
      </w:tr>
      <w:tr>
        <w:tc>
          <w:tcPr/>
          <w:p>
            <w:pPr>
              <w:pStyle w:val="Compact"/>
              <w:jc w:val="left"/>
            </w:pPr>
            <w:r>
              <w:t xml:space="preserve">144</w:t>
            </w:r>
          </w:p>
        </w:tc>
        <w:tc>
          <w:tcPr/>
          <w:p>
            <w:pPr>
              <w:pStyle w:val="Compact"/>
              <w:jc w:val="left"/>
            </w:pPr>
            <w:r>
              <w:t xml:space="preserve">3</w:t>
            </w:r>
          </w:p>
        </w:tc>
      </w:tr>
      <w:tr>
        <w:tc>
          <w:tcPr/>
          <w:p>
            <w:pPr>
              <w:pStyle w:val="Compact"/>
              <w:jc w:val="left"/>
            </w:pPr>
            <w:r>
              <w:t xml:space="preserve">145</w:t>
            </w:r>
          </w:p>
        </w:tc>
        <w:tc>
          <w:tcPr/>
          <w:p>
            <w:pPr>
              <w:pStyle w:val="Compact"/>
              <w:jc w:val="left"/>
            </w:pPr>
            <w:r>
              <w:t xml:space="preserve">5</w:t>
            </w:r>
          </w:p>
        </w:tc>
      </w:tr>
      <w:tr>
        <w:tc>
          <w:tcPr/>
          <w:p>
            <w:pPr>
              <w:pStyle w:val="Compact"/>
              <w:jc w:val="left"/>
            </w:pPr>
            <w:r>
              <w:t xml:space="preserve">151</w:t>
            </w:r>
          </w:p>
        </w:tc>
        <w:tc>
          <w:tcPr/>
          <w:p>
            <w:pPr>
              <w:pStyle w:val="Compact"/>
              <w:jc w:val="left"/>
            </w:pPr>
            <w:r>
              <w:t xml:space="preserve">51</w:t>
            </w:r>
          </w:p>
        </w:tc>
      </w:tr>
      <w:tr>
        <w:tc>
          <w:tcPr/>
          <w:p>
            <w:pPr>
              <w:pStyle w:val="Compact"/>
              <w:jc w:val="left"/>
            </w:pPr>
            <w:r>
              <w:t xml:space="preserve">211</w:t>
            </w:r>
          </w:p>
        </w:tc>
        <w:tc>
          <w:tcPr/>
          <w:p>
            <w:pPr>
              <w:pStyle w:val="Compact"/>
              <w:jc w:val="left"/>
            </w:pPr>
            <w:r>
              <w:t xml:space="preserve">11</w:t>
            </w:r>
          </w:p>
        </w:tc>
      </w:tr>
      <w:tr>
        <w:tc>
          <w:tcPr/>
          <w:p>
            <w:pPr>
              <w:pStyle w:val="Compact"/>
              <w:jc w:val="left"/>
            </w:pPr>
            <w:r>
              <w:t xml:space="preserve">212</w:t>
            </w:r>
          </w:p>
        </w:tc>
        <w:tc>
          <w:tcPr/>
          <w:p>
            <w:pPr>
              <w:pStyle w:val="Compact"/>
              <w:jc w:val="left"/>
            </w:pPr>
            <w:r>
              <w:t xml:space="preserve">11</w:t>
            </w:r>
          </w:p>
        </w:tc>
      </w:tr>
      <w:tr>
        <w:tc>
          <w:tcPr/>
          <w:p>
            <w:pPr>
              <w:pStyle w:val="Compact"/>
              <w:jc w:val="left"/>
            </w:pPr>
            <w:r>
              <w:t xml:space="preserve">213</w:t>
            </w:r>
          </w:p>
        </w:tc>
        <w:tc>
          <w:tcPr/>
          <w:p>
            <w:pPr>
              <w:pStyle w:val="Compact"/>
              <w:jc w:val="left"/>
            </w:pPr>
            <w:r>
              <w:t xml:space="preserve">13</w:t>
            </w:r>
          </w:p>
        </w:tc>
      </w:tr>
      <w:tr>
        <w:tc>
          <w:tcPr/>
          <w:p>
            <w:pPr>
              <w:pStyle w:val="Compact"/>
              <w:jc w:val="left"/>
            </w:pPr>
            <w:r>
              <w:t xml:space="preserve">214</w:t>
            </w:r>
          </w:p>
        </w:tc>
        <w:tc>
          <w:tcPr/>
          <w:p>
            <w:pPr>
              <w:pStyle w:val="Compact"/>
              <w:jc w:val="left"/>
            </w:pPr>
            <w:r>
              <w:t xml:space="preserve">4</w:t>
            </w:r>
          </w:p>
        </w:tc>
      </w:tr>
      <w:tr>
        <w:tc>
          <w:tcPr/>
          <w:p>
            <w:pPr>
              <w:pStyle w:val="Compact"/>
              <w:jc w:val="left"/>
            </w:pPr>
            <w:r>
              <w:t xml:space="preserve">215</w:t>
            </w:r>
          </w:p>
        </w:tc>
        <w:tc>
          <w:tcPr/>
          <w:p>
            <w:pPr>
              <w:pStyle w:val="Compact"/>
              <w:jc w:val="left"/>
            </w:pPr>
            <w:r>
              <w:t xml:space="preserve">5</w:t>
            </w:r>
          </w:p>
        </w:tc>
      </w:tr>
      <w:tr>
        <w:tc>
          <w:tcPr/>
          <w:p>
            <w:pPr>
              <w:pStyle w:val="Compact"/>
              <w:jc w:val="left"/>
            </w:pPr>
            <w:r>
              <w:t xml:space="preserve">221</w:t>
            </w:r>
          </w:p>
        </w:tc>
        <w:tc>
          <w:tcPr/>
          <w:p>
            <w:pPr>
              <w:pStyle w:val="Compact"/>
              <w:jc w:val="left"/>
            </w:pPr>
            <w:r>
              <w:t xml:space="preserve">21</w:t>
            </w:r>
          </w:p>
        </w:tc>
      </w:tr>
      <w:tr>
        <w:tc>
          <w:tcPr/>
          <w:p>
            <w:pPr>
              <w:pStyle w:val="Compact"/>
              <w:jc w:val="left"/>
            </w:pPr>
            <w:r>
              <w:t xml:space="preserve">222</w:t>
            </w:r>
          </w:p>
        </w:tc>
        <w:tc>
          <w:tcPr/>
          <w:p>
            <w:pPr>
              <w:pStyle w:val="Compact"/>
              <w:jc w:val="left"/>
            </w:pPr>
            <w:r>
              <w:t xml:space="preserve">22</w:t>
            </w:r>
          </w:p>
        </w:tc>
      </w:tr>
      <w:tr>
        <w:tc>
          <w:tcPr/>
          <w:p>
            <w:pPr>
              <w:pStyle w:val="Compact"/>
              <w:jc w:val="left"/>
            </w:pPr>
            <w:r>
              <w:t xml:space="preserve">223</w:t>
            </w:r>
          </w:p>
        </w:tc>
        <w:tc>
          <w:tcPr/>
          <w:p>
            <w:pPr>
              <w:pStyle w:val="Compact"/>
              <w:jc w:val="left"/>
            </w:pPr>
            <w:r>
              <w:t xml:space="preserve">24</w:t>
            </w:r>
          </w:p>
        </w:tc>
      </w:tr>
      <w:tr>
        <w:tc>
          <w:tcPr/>
          <w:p>
            <w:pPr>
              <w:pStyle w:val="Compact"/>
              <w:jc w:val="left"/>
            </w:pPr>
            <w:r>
              <w:t xml:space="preserve">224</w:t>
            </w:r>
          </w:p>
        </w:tc>
        <w:tc>
          <w:tcPr/>
          <w:p>
            <w:pPr>
              <w:pStyle w:val="Compact"/>
              <w:jc w:val="left"/>
            </w:pPr>
            <w:r>
              <w:t xml:space="preserve">4</w:t>
            </w:r>
          </w:p>
        </w:tc>
      </w:tr>
      <w:tr>
        <w:tc>
          <w:tcPr/>
          <w:p>
            <w:pPr>
              <w:pStyle w:val="Compact"/>
              <w:jc w:val="left"/>
            </w:pPr>
            <w:r>
              <w:t xml:space="preserve">225</w:t>
            </w:r>
          </w:p>
        </w:tc>
        <w:tc>
          <w:tcPr/>
          <w:p>
            <w:pPr>
              <w:pStyle w:val="Compact"/>
              <w:jc w:val="left"/>
            </w:pPr>
            <w:r>
              <w:t xml:space="preserve">5</w:t>
            </w:r>
          </w:p>
        </w:tc>
      </w:tr>
      <w:tr>
        <w:tc>
          <w:tcPr/>
          <w:p>
            <w:pPr>
              <w:pStyle w:val="Compact"/>
              <w:jc w:val="left"/>
            </w:pPr>
            <w:r>
              <w:t xml:space="preserve">231</w:t>
            </w:r>
          </w:p>
        </w:tc>
        <w:tc>
          <w:tcPr/>
          <w:p>
            <w:pPr>
              <w:pStyle w:val="Compact"/>
              <w:jc w:val="left"/>
            </w:pPr>
            <w:r>
              <w:t xml:space="preserve">30</w:t>
            </w:r>
          </w:p>
        </w:tc>
      </w:tr>
      <w:tr>
        <w:tc>
          <w:tcPr/>
          <w:p>
            <w:pPr>
              <w:pStyle w:val="Compact"/>
              <w:jc w:val="left"/>
            </w:pPr>
            <w:r>
              <w:t xml:space="preserve">232</w:t>
            </w:r>
          </w:p>
        </w:tc>
        <w:tc>
          <w:tcPr/>
          <w:p>
            <w:pPr>
              <w:pStyle w:val="Compact"/>
              <w:jc w:val="left"/>
            </w:pPr>
            <w:r>
              <w:t xml:space="preserve">32</w:t>
            </w:r>
          </w:p>
        </w:tc>
      </w:tr>
      <w:tr>
        <w:tc>
          <w:tcPr/>
          <w:p>
            <w:pPr>
              <w:pStyle w:val="Compact"/>
              <w:jc w:val="left"/>
            </w:pPr>
            <w:r>
              <w:t xml:space="preserve">233</w:t>
            </w:r>
          </w:p>
        </w:tc>
        <w:tc>
          <w:tcPr/>
          <w:p>
            <w:pPr>
              <w:pStyle w:val="Compact"/>
              <w:jc w:val="left"/>
            </w:pPr>
            <w:r>
              <w:t xml:space="preserve">24</w:t>
            </w:r>
          </w:p>
        </w:tc>
      </w:tr>
      <w:tr>
        <w:tc>
          <w:tcPr/>
          <w:p>
            <w:pPr>
              <w:pStyle w:val="Compact"/>
              <w:jc w:val="left"/>
            </w:pPr>
            <w:r>
              <w:t xml:space="preserve">234</w:t>
            </w:r>
          </w:p>
        </w:tc>
        <w:tc>
          <w:tcPr/>
          <w:p>
            <w:pPr>
              <w:pStyle w:val="Compact"/>
              <w:jc w:val="left"/>
            </w:pPr>
            <w:r>
              <w:t xml:space="preserve">4</w:t>
            </w:r>
          </w:p>
        </w:tc>
      </w:tr>
      <w:tr>
        <w:tc>
          <w:tcPr/>
          <w:p>
            <w:pPr>
              <w:pStyle w:val="Compact"/>
              <w:jc w:val="left"/>
            </w:pPr>
            <w:r>
              <w:t xml:space="preserve">235</w:t>
            </w:r>
          </w:p>
        </w:tc>
        <w:tc>
          <w:tcPr/>
          <w:p>
            <w:pPr>
              <w:pStyle w:val="Compact"/>
              <w:jc w:val="left"/>
            </w:pPr>
            <w:r>
              <w:t xml:space="preserve">5</w:t>
            </w:r>
          </w:p>
        </w:tc>
      </w:tr>
      <w:tr>
        <w:tc>
          <w:tcPr/>
          <w:p>
            <w:pPr>
              <w:pStyle w:val="Compact"/>
              <w:jc w:val="left"/>
            </w:pPr>
            <w:r>
              <w:t xml:space="preserve">241</w:t>
            </w:r>
          </w:p>
        </w:tc>
        <w:tc>
          <w:tcPr/>
          <w:p>
            <w:pPr>
              <w:pStyle w:val="Compact"/>
              <w:jc w:val="left"/>
            </w:pPr>
            <w:r>
              <w:t xml:space="preserve">32</w:t>
            </w:r>
          </w:p>
        </w:tc>
      </w:tr>
      <w:tr>
        <w:tc>
          <w:tcPr/>
          <w:p>
            <w:pPr>
              <w:pStyle w:val="Compact"/>
              <w:jc w:val="left"/>
            </w:pPr>
            <w:r>
              <w:t xml:space="preserve">242</w:t>
            </w:r>
          </w:p>
        </w:tc>
        <w:tc>
          <w:tcPr/>
          <w:p>
            <w:pPr>
              <w:pStyle w:val="Compact"/>
              <w:jc w:val="left"/>
            </w:pPr>
            <w:r>
              <w:t xml:space="preserve">32</w:t>
            </w:r>
          </w:p>
        </w:tc>
      </w:tr>
      <w:tr>
        <w:tc>
          <w:tcPr/>
          <w:p>
            <w:pPr>
              <w:pStyle w:val="Compact"/>
              <w:jc w:val="left"/>
            </w:pPr>
            <w:r>
              <w:t xml:space="preserve">243</w:t>
            </w:r>
          </w:p>
        </w:tc>
        <w:tc>
          <w:tcPr/>
          <w:p>
            <w:pPr>
              <w:pStyle w:val="Compact"/>
              <w:jc w:val="left"/>
            </w:pPr>
            <w:r>
              <w:t xml:space="preserve">44</w:t>
            </w:r>
          </w:p>
        </w:tc>
      </w:tr>
      <w:tr>
        <w:tc>
          <w:tcPr/>
          <w:p>
            <w:pPr>
              <w:pStyle w:val="Compact"/>
              <w:jc w:val="left"/>
            </w:pPr>
            <w:r>
              <w:t xml:space="preserve">244</w:t>
            </w:r>
          </w:p>
        </w:tc>
        <w:tc>
          <w:tcPr/>
          <w:p>
            <w:pPr>
              <w:pStyle w:val="Compact"/>
              <w:jc w:val="left"/>
            </w:pPr>
            <w:r>
              <w:t xml:space="preserve">4</w:t>
            </w:r>
          </w:p>
        </w:tc>
      </w:tr>
      <w:tr>
        <w:tc>
          <w:tcPr/>
          <w:p>
            <w:pPr>
              <w:pStyle w:val="Compact"/>
              <w:jc w:val="left"/>
            </w:pPr>
            <w:r>
              <w:t xml:space="preserve">245</w:t>
            </w:r>
          </w:p>
        </w:tc>
        <w:tc>
          <w:tcPr/>
          <w:p>
            <w:pPr>
              <w:pStyle w:val="Compact"/>
              <w:jc w:val="left"/>
            </w:pPr>
            <w:r>
              <w:t xml:space="preserve">5</w:t>
            </w:r>
          </w:p>
        </w:tc>
      </w:tr>
      <w:tr>
        <w:tc>
          <w:tcPr/>
          <w:p>
            <w:pPr>
              <w:pStyle w:val="Compact"/>
              <w:jc w:val="left"/>
            </w:pPr>
            <w:r>
              <w:t xml:space="preserve">251</w:t>
            </w:r>
          </w:p>
        </w:tc>
        <w:tc>
          <w:tcPr/>
          <w:p>
            <w:pPr>
              <w:pStyle w:val="Compact"/>
              <w:jc w:val="left"/>
            </w:pPr>
            <w:r>
              <w:t xml:space="preserve">51</w:t>
            </w:r>
          </w:p>
        </w:tc>
      </w:tr>
      <w:tr>
        <w:tc>
          <w:tcPr/>
          <w:p>
            <w:pPr>
              <w:pStyle w:val="Compact"/>
              <w:jc w:val="left"/>
            </w:pPr>
            <w:r>
              <w:t xml:space="preserve">1000</w:t>
            </w:r>
          </w:p>
        </w:tc>
        <w:tc>
          <w:tcPr/>
          <w:p>
            <w:pPr>
              <w:pStyle w:val="Compact"/>
              <w:jc w:val="left"/>
            </w:pPr>
            <w:r>
              <w:t xml:space="preserve">39</w:t>
            </w:r>
          </w:p>
        </w:tc>
      </w:tr>
    </w:tbl>
    <w:bookmarkEnd w:id="43"/>
    <w:p>
      <w:pPr>
        <w:pStyle w:val="Textoindependiente"/>
      </w:pPr>
      <w:r>
        <w:t xml:space="preserve">A classificação final de landforms se encontra na</w:t>
      </w:r>
      <w:r>
        <w:t xml:space="preserve"> </w:t>
      </w:r>
      <w:hyperlink w:anchor="tbl-landforms">
        <w:r>
          <w:rPr>
            <w:rStyle w:val="Hipervnculo"/>
          </w:rPr>
          <w:t xml:space="preserve">Tabela 4.3</w:t>
        </w:r>
      </w:hyperlink>
      <w:r>
        <w:t xml:space="preserve">.</w:t>
      </w:r>
    </w:p>
    <w:bookmarkStart w:id="44" w:name="tbl-landforms"/>
    <w:p>
      <w:pPr>
        <w:pStyle w:val="TableCaption"/>
      </w:pPr>
      <w:r>
        <w:t xml:space="preserve">Tabela 4.3: Códigos das formas de relevo obtidas após classificação das variáveis</w:t>
      </w:r>
    </w:p>
    <w:tbl>
      <w:tblPr>
        <w:tblStyle w:val="Table"/>
        <w:tblW w:type="auto" w:w="0"/>
        <w:tblLook w:firstRow="1" w:lastRow="0" w:firstColumn="0" w:lastColumn="0" w:noHBand="0" w:noVBand="0" w:val="0020"/>
        <w:jc w:val="start"/>
        <w:tblCaption w:val="Tabela 4.3: Códigos das formas de relevo obtidas após classificação das variáveis"/>
      </w:tblPr>
      <w:tblGrid>
        <w:gridCol w:w="3960"/>
        <w:gridCol w:w="3960"/>
      </w:tblGrid>
      <w:tr>
        <w:trPr>
          <w:tblHeader w:val="true"/>
        </w:trPr>
        <w:tc>
          <w:tcPr/>
          <w:p>
            <w:pPr>
              <w:pStyle w:val="Compact"/>
              <w:jc w:val="left"/>
            </w:pPr>
            <w:r>
              <w:t xml:space="preserve">Códigos</w:t>
            </w:r>
          </w:p>
        </w:tc>
        <w:tc>
          <w:tcPr/>
          <w:p>
            <w:pPr>
              <w:pStyle w:val="Compact"/>
              <w:jc w:val="left"/>
            </w:pPr>
            <w:r>
              <w:t xml:space="preserve">Nomes</w:t>
            </w:r>
          </w:p>
        </w:tc>
      </w:tr>
      <w:tr>
        <w:tc>
          <w:tcPr/>
          <w:p>
            <w:pPr>
              <w:pStyle w:val="Compact"/>
              <w:jc w:val="left"/>
            </w:pPr>
            <w:r>
              <w:t xml:space="preserve">3</w:t>
            </w:r>
          </w:p>
        </w:tc>
        <w:tc>
          <w:tcPr/>
          <w:p>
            <w:pPr>
              <w:pStyle w:val="Compact"/>
              <w:jc w:val="left"/>
            </w:pPr>
            <w:r>
              <w:t xml:space="preserve">Cool Steep Slope</w:t>
            </w:r>
          </w:p>
        </w:tc>
      </w:tr>
      <w:tr>
        <w:tc>
          <w:tcPr/>
          <w:p>
            <w:pPr>
              <w:pStyle w:val="Compact"/>
              <w:jc w:val="left"/>
            </w:pPr>
            <w:r>
              <w:t xml:space="preserve">4</w:t>
            </w:r>
          </w:p>
        </w:tc>
        <w:tc>
          <w:tcPr/>
          <w:p>
            <w:pPr>
              <w:pStyle w:val="Compact"/>
              <w:jc w:val="left"/>
            </w:pPr>
            <w:r>
              <w:t xml:space="preserve">Warms Steep Slope</w:t>
            </w:r>
          </w:p>
        </w:tc>
      </w:tr>
      <w:tr>
        <w:tc>
          <w:tcPr/>
          <w:p>
            <w:pPr>
              <w:pStyle w:val="Compact"/>
              <w:jc w:val="left"/>
            </w:pPr>
            <w:r>
              <w:t xml:space="preserve">5</w:t>
            </w:r>
          </w:p>
        </w:tc>
        <w:tc>
          <w:tcPr/>
          <w:p>
            <w:pPr>
              <w:pStyle w:val="Compact"/>
              <w:jc w:val="left"/>
            </w:pPr>
            <w:r>
              <w:t xml:space="preserve">Cliff</w:t>
            </w:r>
          </w:p>
        </w:tc>
      </w:tr>
      <w:tr>
        <w:tc>
          <w:tcPr/>
          <w:p>
            <w:pPr>
              <w:pStyle w:val="Compact"/>
              <w:jc w:val="left"/>
            </w:pPr>
            <w:r>
              <w:t xml:space="preserve">11</w:t>
            </w:r>
          </w:p>
        </w:tc>
        <w:tc>
          <w:tcPr/>
          <w:p>
            <w:pPr>
              <w:pStyle w:val="Compact"/>
              <w:jc w:val="left"/>
            </w:pPr>
            <w:r>
              <w:t xml:space="preserve">Summit/Ridgetop</w:t>
            </w:r>
          </w:p>
        </w:tc>
      </w:tr>
      <w:tr>
        <w:tc>
          <w:tcPr/>
          <w:p>
            <w:pPr>
              <w:pStyle w:val="Compact"/>
              <w:jc w:val="left"/>
            </w:pPr>
            <w:r>
              <w:t xml:space="preserve">13</w:t>
            </w:r>
          </w:p>
        </w:tc>
        <w:tc>
          <w:tcPr/>
          <w:p>
            <w:pPr>
              <w:pStyle w:val="Compact"/>
              <w:jc w:val="left"/>
            </w:pPr>
            <w:r>
              <w:t xml:space="preserve">Slope Crest</w:t>
            </w:r>
          </w:p>
        </w:tc>
      </w:tr>
      <w:tr>
        <w:tc>
          <w:tcPr/>
          <w:p>
            <w:pPr>
              <w:pStyle w:val="Compact"/>
              <w:jc w:val="left"/>
            </w:pPr>
            <w:r>
              <w:t xml:space="preserve">21</w:t>
            </w:r>
          </w:p>
        </w:tc>
        <w:tc>
          <w:tcPr/>
          <w:p>
            <w:pPr>
              <w:pStyle w:val="Compact"/>
              <w:jc w:val="left"/>
            </w:pPr>
            <w:r>
              <w:t xml:space="preserve">Flat Hilltop</w:t>
            </w:r>
          </w:p>
        </w:tc>
      </w:tr>
      <w:tr>
        <w:tc>
          <w:tcPr/>
          <w:p>
            <w:pPr>
              <w:pStyle w:val="Compact"/>
              <w:jc w:val="left"/>
            </w:pPr>
            <w:r>
              <w:t xml:space="preserve">22</w:t>
            </w:r>
          </w:p>
        </w:tc>
        <w:tc>
          <w:tcPr/>
          <w:p>
            <w:pPr>
              <w:pStyle w:val="Compact"/>
              <w:jc w:val="left"/>
            </w:pPr>
            <w:r>
              <w:t xml:space="preserve">Gentle Slope Hilltop</w:t>
            </w:r>
          </w:p>
        </w:tc>
      </w:tr>
      <w:tr>
        <w:tc>
          <w:tcPr/>
          <w:p>
            <w:pPr>
              <w:pStyle w:val="Compact"/>
              <w:jc w:val="left"/>
            </w:pPr>
            <w:r>
              <w:t xml:space="preserve">23</w:t>
            </w:r>
          </w:p>
        </w:tc>
        <w:tc>
          <w:tcPr/>
          <w:p>
            <w:pPr>
              <w:pStyle w:val="Compact"/>
              <w:jc w:val="left"/>
            </w:pPr>
            <w:r>
              <w:t xml:space="preserve">Cool Sideslope</w:t>
            </w:r>
          </w:p>
        </w:tc>
      </w:tr>
      <w:tr>
        <w:tc>
          <w:tcPr/>
          <w:p>
            <w:pPr>
              <w:pStyle w:val="Compact"/>
              <w:jc w:val="left"/>
            </w:pPr>
            <w:r>
              <w:t xml:space="preserve">24</w:t>
            </w:r>
          </w:p>
        </w:tc>
        <w:tc>
          <w:tcPr/>
          <w:p>
            <w:pPr>
              <w:pStyle w:val="Compact"/>
              <w:jc w:val="left"/>
            </w:pPr>
            <w:r>
              <w:t xml:space="preserve">Warm Sideslope</w:t>
            </w:r>
          </w:p>
        </w:tc>
      </w:tr>
      <w:tr>
        <w:tc>
          <w:tcPr/>
          <w:p>
            <w:pPr>
              <w:pStyle w:val="Compact"/>
              <w:jc w:val="left"/>
            </w:pPr>
            <w:r>
              <w:t xml:space="preserve">30</w:t>
            </w:r>
          </w:p>
        </w:tc>
        <w:tc>
          <w:tcPr/>
          <w:p>
            <w:pPr>
              <w:pStyle w:val="Compact"/>
              <w:jc w:val="left"/>
            </w:pPr>
            <w:r>
              <w:t xml:space="preserve">Dry Flats</w:t>
            </w:r>
          </w:p>
        </w:tc>
      </w:tr>
      <w:tr>
        <w:tc>
          <w:tcPr/>
          <w:p>
            <w:pPr>
              <w:pStyle w:val="Compact"/>
              <w:jc w:val="left"/>
            </w:pPr>
            <w:r>
              <w:t xml:space="preserve">32</w:t>
            </w:r>
          </w:p>
        </w:tc>
        <w:tc>
          <w:tcPr/>
          <w:p>
            <w:pPr>
              <w:pStyle w:val="Compact"/>
              <w:jc w:val="left"/>
            </w:pPr>
            <w:r>
              <w:t xml:space="preserve">Valley/Toeslope</w:t>
            </w:r>
          </w:p>
        </w:tc>
      </w:tr>
      <w:tr>
        <w:tc>
          <w:tcPr/>
          <w:p>
            <w:pPr>
              <w:pStyle w:val="Compact"/>
              <w:jc w:val="left"/>
            </w:pPr>
            <w:r>
              <w:t xml:space="preserve">39</w:t>
            </w:r>
          </w:p>
        </w:tc>
        <w:tc>
          <w:tcPr/>
          <w:p>
            <w:pPr>
              <w:pStyle w:val="Compact"/>
              <w:jc w:val="left"/>
            </w:pPr>
            <w:r>
              <w:t xml:space="preserve">Moist Flats</w:t>
            </w:r>
          </w:p>
        </w:tc>
      </w:tr>
      <w:tr>
        <w:tc>
          <w:tcPr/>
          <w:p>
            <w:pPr>
              <w:pStyle w:val="Compact"/>
              <w:jc w:val="left"/>
            </w:pPr>
            <w:r>
              <w:t xml:space="preserve">43</w:t>
            </w:r>
          </w:p>
        </w:tc>
        <w:tc>
          <w:tcPr/>
          <w:p>
            <w:pPr>
              <w:pStyle w:val="Compact"/>
              <w:jc w:val="left"/>
            </w:pPr>
            <w:r>
              <w:t xml:space="preserve">Cool Footslope</w:t>
            </w:r>
          </w:p>
        </w:tc>
      </w:tr>
      <w:tr>
        <w:tc>
          <w:tcPr/>
          <w:p>
            <w:pPr>
              <w:pStyle w:val="Compact"/>
              <w:jc w:val="left"/>
            </w:pPr>
            <w:r>
              <w:t xml:space="preserve">44</w:t>
            </w:r>
          </w:p>
        </w:tc>
        <w:tc>
          <w:tcPr/>
          <w:p>
            <w:pPr>
              <w:pStyle w:val="Compact"/>
              <w:jc w:val="left"/>
            </w:pPr>
            <w:r>
              <w:t xml:space="preserve">Warm Sideslope</w:t>
            </w:r>
          </w:p>
        </w:tc>
      </w:tr>
    </w:tbl>
    <w:bookmarkEnd w:id="44"/>
    <w:bookmarkEnd w:id="45"/>
    <w:bookmarkStart w:id="46" w:name="variedade-de-formas-de-relevo"/>
    <w:p>
      <w:pPr>
        <w:pStyle w:val="Ttulo5"/>
      </w:pPr>
      <w:r>
        <w:t xml:space="preserve">4.2.1.1.5 Variedade de Formas de relevo</w:t>
      </w:r>
    </w:p>
    <w:p>
      <w:pPr>
        <w:pStyle w:val="FirstParagraph"/>
      </w:pPr>
      <w:r>
        <w:t xml:space="preserve">Para utilizar no cálculo de</w:t>
      </w:r>
      <w:r>
        <w:t xml:space="preserve"> </w:t>
      </w:r>
      <w:r>
        <w:rPr>
          <w:bCs/>
          <w:b/>
        </w:rPr>
        <w:t xml:space="preserve">diversidade da paisagem</w:t>
      </w:r>
      <w:r>
        <w:t xml:space="preserve">, calculamos a variedade de formas de relevo como a soma dos diferentes tipos de formas,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que o subsequente não adicionou variedade. Desta forma, o raio representa o nível de resolução da paisagem que captura o máximo de variedade de landforms. Raios maiores podem aumentar a variedade, mas devido a mudança de paisagem. Assim, o raio escolhido foi de 5 células de raio (450 metros)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as médias e desvios padrões dentro de cada uma das classes.</w:t>
      </w:r>
    </w:p>
    <w:bookmarkEnd w:id="46"/>
    <w:bookmarkEnd w:id="47"/>
    <w:bookmarkStart w:id="48" w:name="amplitude-altitudinal-1"/>
    <w:p>
      <w:pPr>
        <w:pStyle w:val="Ttulo4"/>
      </w:pPr>
      <w:r>
        <w:t xml:space="preserve">4.2.1.2 Amplitude Altitudinal</w:t>
      </w:r>
    </w:p>
    <w:p>
      <w:pPr>
        <w:pStyle w:val="FirstParagraph"/>
      </w:pPr>
      <w:r>
        <w:t xml:space="preserve">A amplitude altitudinal vai representar a variação da elevação em uma região, independente do número de</w:t>
      </w:r>
      <w:r>
        <w:t xml:space="preserve"> </w:t>
      </w:r>
      <w:hyperlink w:anchor="formas-de-relevo">
        <w:r>
          <w:rPr>
            <w:rStyle w:val="Hipervnculo"/>
            <w:bCs/>
            <w:b/>
          </w:rPr>
          <w:t xml:space="preserve">formas de relevo</w:t>
        </w:r>
      </w:hyperlink>
      <w:r>
        <w:t xml:space="preserve">, controlando a relação entre as formas de relevo e a elevação já que elas são correlacionadas entre si</w:t>
      </w:r>
      <w:r>
        <w:t xml:space="preserve"> </w:t>
      </w:r>
      <w:r>
        <w:t xml:space="preserve">(</w:t>
      </w:r>
      <w:r>
        <w:rPr>
          <w:bCs/>
          <w:b/>
        </w:rPr>
        <w:t xml:space="preserve">citação?</w:t>
      </w:r>
      <w:r>
        <w:t xml:space="preserve">)</w:t>
      </w:r>
      <w:r>
        <w:t xml:space="preserve">. A amplitude altitudinal foi calculada como a diferença entre os valores máximos e mínimos de elevação, dentro de um</w:t>
      </w:r>
      <w:r>
        <w:t xml:space="preserve"> </w:t>
      </w:r>
      <w:r>
        <w:rPr>
          <w:iCs/>
          <w:i/>
        </w:rPr>
        <w:t xml:space="preserve">kernel</w:t>
      </w:r>
      <w:r>
        <w:t xml:space="preserve"> </w:t>
      </w:r>
      <w:r>
        <w:t xml:space="preserve">circular de 450 metros, a partir dos dados do</w:t>
      </w:r>
      <w:r>
        <w:t xml:space="preserve"> </w:t>
      </w:r>
      <w:r>
        <w:rPr>
          <w:iCs/>
          <w:i/>
        </w:rPr>
        <w:t xml:space="preserve">Digital Elevation Model</w:t>
      </w:r>
      <w:r>
        <w:t xml:space="preserve"> </w:t>
      </w:r>
      <w:r>
        <w:t xml:space="preserve">do MERIT</w:t>
      </w:r>
      <w:r>
        <w:t xml:space="preserve"> </w:t>
      </w:r>
      <w:r>
        <w:t xml:space="preserve">(</w:t>
      </w:r>
      <w:r>
        <w:rPr>
          <w:bCs/>
          <w:b/>
        </w:rPr>
        <w:t xml:space="preserve">citação?</w:t>
      </w:r>
      <w:r>
        <w:t xml:space="preserve">)</w:t>
      </w:r>
      <w:r>
        <w:t xml:space="preserve">. Então fizemos uma Regressão Linear Simples (</w:t>
      </w:r>
      <w:r>
        <w:rPr>
          <w:iCs/>
          <w:i/>
        </w:rPr>
        <w:t xml:space="preserve">Ordinary Linear Regression</w:t>
      </w:r>
      <w:r>
        <w:t xml:space="preserve">;</w:t>
      </w:r>
      <w:r>
        <w:t xml:space="preserve"> </w:t>
      </w:r>
      <w:r>
        <w:t xml:space="preserve">(</w:t>
      </w:r>
      <w:r>
        <w:rPr>
          <w:bCs/>
          <w:b/>
        </w:rPr>
        <w:t xml:space="preserve">citação?</w:t>
      </w:r>
      <w:r>
        <w:t xml:space="preserve">)</w:t>
      </w:r>
      <w:r>
        <w:t xml:space="preserve">) entre os</w:t>
      </w:r>
      <w:r>
        <w:t xml:space="preserve"> </w:t>
      </w:r>
      <w:r>
        <w:rPr>
          <w:bCs/>
          <w:b/>
        </w:rPr>
        <w:t xml:space="preserve">valores de amplitude</w:t>
      </w:r>
      <w:r>
        <w:t xml:space="preserve"> </w:t>
      </w:r>
      <w:r>
        <w:t xml:space="preserve">e a</w:t>
      </w:r>
      <w:r>
        <w:t xml:space="preserve"> </w:t>
      </w:r>
      <w:r>
        <w:rPr>
          <w:bCs/>
          <w:b/>
        </w:rPr>
        <w:t xml:space="preserve">variedade de formas de relevo</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nos mostra a variação, em relação à média, dos valores dos resíduos da amplitude altitudinal dentro de cada uma das categorias de</w:t>
      </w:r>
      <w:r>
        <w:t xml:space="preserve"> </w:t>
      </w:r>
      <w:r>
        <w:rPr>
          <w:bCs/>
          <w:b/>
        </w:rPr>
        <w:t xml:space="preserve">regiões eco-geológicas</w:t>
      </w:r>
      <w:r>
        <w:t xml:space="preserve">.</w:t>
      </w:r>
    </w:p>
    <w:bookmarkEnd w:id="48"/>
    <w:bookmarkStart w:id="49" w:name="densidade-de-banhados"/>
    <w:p>
      <w:pPr>
        <w:pStyle w:val="Ttulo4"/>
      </w:pPr>
      <w:r>
        <w:t xml:space="preserve">4.2.1.3 Densidade de Banhados</w:t>
      </w:r>
    </w:p>
    <w:p>
      <w:pPr>
        <w:pStyle w:val="FirstParagraph"/>
      </w:pPr>
      <w:r>
        <w:t xml:space="preserve">Para calcular a densidade de banhados usados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w:t>
      </w:r>
    </w:p>
    <w:p>
      <w:pPr>
        <w:pStyle w:val="Textoindependiente"/>
      </w:pPr>
      <w:r>
        <w:t xml:space="preserve">Como áreas de banhados ocorrem em diversas configurações e distribuição no espaço, nós avaliamos as variações das mesmas em escala local (450 metros) e em uma escala regional (1170 metros). Para o cálculo final dos valores de Densidade de banhados, utilizamos tanto o número de pixels em escala regional e a densidade, tanto em escala regional quanto local.</w:t>
      </w:r>
    </w:p>
    <w:p>
      <w:pPr>
        <w:pStyle w:val="Textoindependiente"/>
      </w:pPr>
      <w:r>
        <w:t xml:space="preserve">A</w:t>
      </w:r>
      <w:r>
        <w:t xml:space="preserve"> </w:t>
      </w:r>
      <w:r>
        <w:rPr>
          <w:bCs/>
          <w:b/>
        </w:rPr>
        <w:t xml:space="preserve">densidade de banhados</w:t>
      </w:r>
      <w:r>
        <w:t xml:space="preserve"> </w:t>
      </w:r>
      <w:r>
        <w:t xml:space="preserve">foi calculada como uma média do número de</w:t>
      </w:r>
      <w:r>
        <w:t xml:space="preserve"> </w:t>
      </w:r>
      <w:r>
        <w:rPr>
          <w:iCs/>
          <w:i/>
        </w:rPr>
        <w:t xml:space="preserve">pixels</w:t>
      </w:r>
      <w:r>
        <w:t xml:space="preserve"> </w:t>
      </w:r>
      <w:r>
        <w:t xml:space="preserve">de áreas de banhado, dentro de um kernel de escala regional (1170 metros) e um kernel em escala local (450 metros), excluindo rios e lagos. 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com 1170 metros de diâmetro. A contagem vai representar o número de áreas umidas (excluindo rios e lagos), mostrando regiões de maiores concentrações de pixels de áreas úmidas, que apresentem uma baixa densidade de banhados.</w:t>
      </w:r>
      <w:r>
        <w:t xml:space="preserve"> </w:t>
      </w:r>
      <w:r>
        <w:t xml:space="preserve">Essas 3 camadas vão auxiliar na identificação de regiões de</w:t>
      </w:r>
      <w:r>
        <w:t xml:space="preserve"> </w:t>
      </w:r>
      <w:r>
        <w:rPr>
          <w:bCs/>
          <w:b/>
        </w:rPr>
        <w:t xml:space="preserve">Diversidade da Paisagem</w:t>
      </w:r>
      <w:r>
        <w:t xml:space="preserve"> </w:t>
      </w:r>
      <w:r>
        <w:t xml:space="preserve">que apresentem valores baixos para formas de relevo e amplitude de elevação, mas que tenham uma acumulação de áreas umidas que poderiam amenizar localmente o efeito das mudanças climáticas</w:t>
      </w:r>
      <w:r>
        <w:t xml:space="preserve"> </w:t>
      </w:r>
      <w:r>
        <w:t xml:space="preserve">(</w:t>
      </w:r>
      <w:r>
        <w:rPr>
          <w:bCs/>
          <w:b/>
        </w:rPr>
        <w:t xml:space="preserve">citação?</w:t>
      </w:r>
      <w:r>
        <w:t xml:space="preserve">)</w:t>
      </w:r>
      <w:r>
        <w:t xml:space="preserve">.</w:t>
      </w:r>
    </w:p>
    <w:p>
      <w:pPr>
        <w:pStyle w:val="Textoindependiente"/>
      </w:pPr>
      <w:r>
        <w:t xml:space="preserve">Para calcular os valores finais de densidade de banhado, precisamos juntar as informações das 3 camadas produzidas, primeiro calculando os valores padronizados para cada uma delas e depois fazendo uma série de médias pixel a pixel para selecionar os maiores valores de</w:t>
      </w:r>
      <w:r>
        <w:t xml:space="preserve"> </w:t>
      </w:r>
      <m:oMath>
        <m:r>
          <m:t>Z</m:t>
        </m:r>
      </m:oMath>
      <w:r>
        <w:t xml:space="preserve">.</w:t>
      </w:r>
    </w:p>
    <w:p>
      <w:pPr>
        <w:pStyle w:val="Textoindependiente"/>
      </w:pPr>
      <w:r>
        <w:t xml:space="preserve">Calculamos os valores padronizados de</w:t>
      </w:r>
      <w:r>
        <w:t xml:space="preserve"> </w:t>
      </w:r>
      <m:oMath>
        <m:r>
          <m:t>Z</m:t>
        </m:r>
      </m:oMath>
      <w:r>
        <w:t xml:space="preserve"> </w:t>
      </w:r>
      <w:r>
        <w:t xml:space="preserve">para cada pixel (</w:t>
      </w:r>
      <m:oMath>
        <m:sSub>
          <m:e>
            <m:r>
              <m:t>Z</m:t>
            </m:r>
          </m:e>
          <m:sub>
            <m:r>
              <m:t>p</m:t>
            </m:r>
            <m:r>
              <m:t>i</m:t>
            </m:r>
            <m:r>
              <m:t>x</m:t>
            </m:r>
            <m:r>
              <m:t>e</m:t>
            </m:r>
            <m:r>
              <m:t>l</m:t>
            </m:r>
          </m:sub>
        </m:sSub>
      </m:oMath>
      <w:r>
        <w:t xml:space="preserve">)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A média e o desvio padrão, e portanto os valores de</w:t>
      </w:r>
      <w:r>
        <w:t xml:space="preserve"> </w:t>
      </w:r>
      <m:oMath>
        <m:r>
          <m:t>Z</m:t>
        </m:r>
      </m:oMath>
      <w:r>
        <w:t xml:space="preserve">, foram calculados tanto para toda a extensão do Brasil, como dentro das diferentes categorias de</w:t>
      </w:r>
      <w:r>
        <w:t xml:space="preserve"> </w:t>
      </w:r>
      <w:hyperlink w:anchor="regiões-eco-geológicas">
        <w:r>
          <w:rPr>
            <w:rStyle w:val="Hipervnculo"/>
            <w:bCs/>
            <w:b/>
          </w:rPr>
          <w:t xml:space="preserve">regiões eco-geológicas</w:t>
        </w:r>
      </w:hyperlink>
      <w:r>
        <w:t xml:space="preserve">.</w:t>
      </w:r>
      <w:r>
        <w:t xml:space="preserve"> </w:t>
      </w:r>
      <w:r>
        <w:t xml:space="preserve">Com o</w:t>
      </w:r>
      <w:r>
        <w:t xml:space="preserve"> </w:t>
      </w:r>
      <m:oMath>
        <m:r>
          <m:t>Z</m:t>
        </m:r>
      </m:oMath>
      <w:r>
        <w:t xml:space="preserve"> </w:t>
      </w:r>
      <w:r>
        <w:t xml:space="preserve">calculado para as 3 camadas, podemos calcular os valores de diversidade de áreas de banhado (</w:t>
      </w:r>
      <m:oMath>
        <m:sSub>
          <m:e>
            <m:r>
              <m:t>Z</m:t>
            </m:r>
          </m:e>
          <m:sub>
            <m:r>
              <m:t>b</m:t>
            </m:r>
            <m:r>
              <m:t>a</m:t>
            </m:r>
            <m:r>
              <m:t>n</m:t>
            </m:r>
            <m:r>
              <m:t>h</m:t>
            </m:r>
            <m:r>
              <m:t>a</m:t>
            </m:r>
            <m:r>
              <m:t>d</m:t>
            </m:r>
            <m:r>
              <m:t>o</m:t>
            </m:r>
          </m:sub>
        </m:sSub>
      </m:oMath>
      <w:r>
        <w:t xml:space="preserve">) ao fazermos uma média dos valores para as camadas de densidade e contagem.</w:t>
      </w:r>
    </w:p>
    <w:p>
      <w:pPr>
        <w:pStyle w:val="Textoindependiente"/>
      </w:pPr>
      <w:r>
        <w:t xml:space="preserve">Primeiro calculamos a média entre as imagens de densidade de banhados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b</m:t>
              </m:r>
              <m:r>
                <m:t>a</m:t>
              </m:r>
              <m:r>
                <m:t>n</m:t>
              </m:r>
              <m:r>
                <m:t>h</m:t>
              </m:r>
              <m:r>
                <m:t>a</m:t>
              </m:r>
              <m:r>
                <m:t>d</m:t>
              </m:r>
              <m:r>
                <m:t>o</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de banhado referentes às regiões eco-geológicas.</w:t>
      </w:r>
    </w:p>
    <w:bookmarkEnd w:id="49"/>
    <w:bookmarkStart w:id="50" w:name="diversidade-de-solo"/>
    <w:p>
      <w:pPr>
        <w:pStyle w:val="Ttulo4"/>
      </w:pPr>
      <w:r>
        <w:t xml:space="preserve">4.2.1.4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metros e foi usada para indicar áreas com grande concentração dos diferentes tipos de solo que vão afetar diretamente na diversidade de espécies do ambiente. Para calcular o raster de diversidade do solo usamos a classificação oficial dos solos brasileiros, disponibilizada pelo Instituto Brasileiro de Geografica e Estatística (IBGE;</w:t>
      </w:r>
      <w:r>
        <w:t xml:space="preserve"> </w:t>
      </w:r>
      <w:r>
        <w:t xml:space="preserve">(</w:t>
      </w:r>
      <w:r>
        <w:rPr>
          <w:bCs/>
          <w:b/>
        </w:rPr>
        <w:t xml:space="preserve">citação?</w:t>
      </w:r>
      <w:r>
        <w:t xml:space="preserve">)</w:t>
      </w:r>
      <w:r>
        <w:t xml:space="preserv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as médias e desvios padrões dentro de cada uma das classes.</w:t>
      </w:r>
    </w:p>
    <w:bookmarkEnd w:id="50"/>
    <w:bookmarkEnd w:id="51"/>
    <w:bookmarkStart w:id="55" w:name="conectividade-local-1"/>
    <w:p>
      <w:pPr>
        <w:pStyle w:val="Ttulo3"/>
      </w:pPr>
      <w:r>
        <w:t xml:space="preserve">4.2.2 Conectividade local</w:t>
      </w:r>
    </w:p>
    <w:bookmarkStart w:id="53" w:name="cálculos-de-resistência"/>
    <w:p>
      <w:pPr>
        <w:pStyle w:val="Ttulo4"/>
      </w:pPr>
      <w:r>
        <w:t xml:space="preserve">4.2.2.1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até o momento, foram a camada de cobertura do solo fornecida pelo MapBiomas (coleção 7, ano 2021) e a base de estradas pavimentadas e não pavimentadas fornecida pelo IBGE (BCIM250, ano 2021). Para tanto, preliminarmente, a superfície de cobertura do solo do MapBiomas foi reamostrada para gerar pixels com 90 metros de tamanho, aproximadamente. Também convertemos o arquivo vetorial de estradas para o formato matricial, com pixels de tamanho aproximado de 90 metros. Conjugamos, por álgebra de mapas, as bases matriciais do MapBiomas e de estadas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hyperlink w:anchor="tbl-resistencia">
        <w:r>
          <w:rPr>
            <w:rStyle w:val="Hipervnculo"/>
          </w:rPr>
          <w:t xml:space="preserve">Tabela 4.4</w:t>
        </w:r>
      </w:hyperlink>
      <w:r>
        <w:t xml:space="preserve">.</w:t>
      </w:r>
    </w:p>
    <w:bookmarkStart w:id="52" w:name="tbl-resistencia"/>
    <w:p>
      <w:pPr>
        <w:pStyle w:val="TableCaption"/>
      </w:pPr>
      <w:r>
        <w:t xml:space="preserve">Tabela 4.4: Valores de resistência para cada tipo de cobertura por bioma</w:t>
      </w:r>
    </w:p>
    <w:tbl>
      <w:tblPr>
        <w:tblStyle w:val="Table"/>
        <w:tblW w:type="auto" w:w="0"/>
        <w:tblLook w:firstRow="1" w:lastRow="0" w:firstColumn="0" w:lastColumn="0" w:noHBand="0" w:noVBand="0" w:val="0020"/>
        <w:jc w:val="start"/>
        <w:tblCaption w:val="Tabela 4.4: Valores de resistência para cada tipo de cobertura por bioma"/>
      </w:tblPr>
      <w:tblGrid>
        <w:gridCol w:w="2640"/>
        <w:gridCol w:w="2640"/>
        <w:gridCol w:w="2640"/>
      </w:tblGrid>
      <w:tr>
        <w:trPr>
          <w:tblHeader w:val="true"/>
        </w:trPr>
        <w:tc>
          <w:tcPr/>
          <w:p>
            <w:pPr>
              <w:pStyle w:val="Compact"/>
              <w:jc w:val="right"/>
            </w:pPr>
            <w:r>
              <w:t xml:space="preserve">a</w:t>
            </w:r>
          </w:p>
        </w:tc>
        <w:tc>
          <w:tcPr/>
          <w:p>
            <w:pPr>
              <w:pStyle w:val="Compact"/>
              <w:jc w:val="right"/>
            </w:pPr>
            <w:r>
              <w:t xml:space="preserve">b</w:t>
            </w:r>
          </w:p>
        </w:tc>
        <w:tc>
          <w:tcPr/>
          <w:p>
            <w:pPr>
              <w:pStyle w:val="Compact"/>
              <w:jc w:val="right"/>
            </w:pPr>
            <w:r>
              <w:t xml:space="preserve">c</w:t>
            </w:r>
          </w:p>
        </w:tc>
      </w:tr>
      <w:tr>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r>
    </w:tbl>
    <w:bookmarkEnd w:id="52"/>
    <w:p>
      <w:pPr>
        <w:pStyle w:val="Textoindependiente"/>
      </w:pPr>
      <w:r>
        <w:t xml:space="preserve">Depois de atribuídos os valores de resistência, aplicamos à superfície gerada a função Kernel de decaimento linear. Esta análise considerou, numa janela móvel de 23 pixels, o contexto espacial em que cada pixel está inserido, reconhecendo que pixels mais próximos possuem uma influência maior um sobre outro do que pixels mais distantes. Desta maneira, a função Kernel nos auxilia na tarefa de encontrar os melhores caminhos de deslocamento na paisagem, ou seja, aqueles caminhos que oferecem menor resistência.</w:t>
      </w:r>
    </w:p>
    <w:bookmarkEnd w:id="53"/>
    <w:bookmarkStart w:id="54" w:name="X11e41756908d5d449eccd6204a74eff3bf99283"/>
    <w:p>
      <w:pPr>
        <w:pStyle w:val="Ttulo4"/>
      </w:pPr>
      <w:r>
        <w:t xml:space="preserve">4.2.2.2 Filtro de kernel como</w:t>
      </w:r>
      <w:r>
        <w:t xml:space="preserve"> </w:t>
      </w:r>
      <w:r>
        <w:rPr>
          <w:iCs/>
          <w:i/>
        </w:rPr>
        <w:t xml:space="preserve">proxy</w:t>
      </w:r>
      <w:r>
        <w:t xml:space="preserve"> </w:t>
      </w:r>
      <w:r>
        <w:t xml:space="preserve">da conectividade local</w:t>
      </w:r>
    </w:p>
    <w:p>
      <w:pPr>
        <w:pStyle w:val="FirstParagraph"/>
      </w:pPr>
      <w:r>
        <w:t xml:space="preserve">Um filtro de</w:t>
      </w:r>
      <w:r>
        <w:t xml:space="preserve"> </w:t>
      </w:r>
      <w:r>
        <w:rPr>
          <w:iCs/>
          <w:i/>
        </w:rPr>
        <w:t xml:space="preserve">kernel</w:t>
      </w:r>
      <w:r>
        <w:t xml:space="preserve"> </w:t>
      </w:r>
      <w:r>
        <w:t xml:space="preserve">de 23 x 23 píxeis (~2070m) foi aplicado ao raster de resistências.</w:t>
      </w:r>
    </w:p>
    <w:bookmarkEnd w:id="54"/>
    <w:bookmarkEnd w:id="55"/>
    <w:bookmarkStart w:id="56" w:name="Xbadbe084a19fd6fb9ec8b9ec37ac38bbe16fdb0"/>
    <w:p>
      <w:pPr>
        <w:pStyle w:val="Ttulo3"/>
      </w:pPr>
      <w:r>
        <w:t xml:space="preserve">4.2.3 Combinando diversidade da paisagem e conectividade local: resiliência</w:t>
      </w:r>
    </w:p>
    <w:bookmarkEnd w:id="56"/>
    <w:bookmarkEnd w:id="57"/>
    <w:bookmarkEnd w:id="58"/>
    <w:bookmarkStart w:id="60" w:name="resultados"/>
    <w:p>
      <w:pPr>
        <w:pStyle w:val="Ttulo1"/>
      </w:pPr>
      <w:r>
        <w:t xml:space="preserve">5. Resultados</w:t>
      </w:r>
    </w:p>
    <w:p>
      <w:pPr>
        <w:pStyle w:val="FirstParagraph"/>
      </w:pPr>
      <w:r>
        <w:t xml:space="preserve">Os resultados das análises realizadas pela equipe se encontram no website da</w:t>
      </w:r>
      <w:r>
        <w:t xml:space="preserve"> </w:t>
      </w:r>
      <w:r>
        <w:rPr>
          <w:iCs/>
          <w:i/>
        </w:rPr>
        <w:t xml:space="preserve">The Nature Conservancy</w:t>
      </w:r>
      <w:r>
        <w:t xml:space="preserve"> </w:t>
      </w:r>
      <w:r>
        <w:t xml:space="preserve">Brasil</w:t>
      </w:r>
      <w:r>
        <w:t xml:space="preserve"> </w:t>
      </w:r>
      <w:hyperlink r:id="rId59">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0"/>
    <w:bookmarkStart w:id="74" w:name="references"/>
    <w:p>
      <w:pPr>
        <w:pStyle w:val="Ttulo1"/>
      </w:pPr>
      <w:r>
        <w:t xml:space="preserve">References</w:t>
      </w:r>
    </w:p>
    <w:bookmarkStart w:id="73" w:name="refs"/>
    <w:bookmarkStart w:id="62" w:name="ref-anderson_resilient_2023"/>
    <w:p>
      <w:pPr>
        <w:pStyle w:val="Bibliografa"/>
      </w:pPr>
      <w:r>
        <w:t xml:space="preserve">Anderson, M. G., M. Clark, A. P. Olivero, A. R. Barnett, K. R. Hall, M. W. Cornett, M. Ahlering, M. Schindel, B. Unnasch, C. Schloss, e D. R. Cameron. 2023.</w:t>
      </w:r>
      <w:r>
        <w:t xml:space="preserve"> </w:t>
      </w:r>
      <w:hyperlink r:id="rId61">
        <w:r>
          <w:rPr>
            <w:rStyle w:val="Hipervnculo"/>
          </w:rPr>
          <w:t xml:space="preserve">A Resilient and Connected Network of Sites to Sustain Biodiversity under a Changing Climate</w:t>
        </w:r>
      </w:hyperlink>
      <w:r>
        <w:t xml:space="preserve">. Proceedings of the National Academy of Sciences 120:e2204434119.</w:t>
      </w:r>
    </w:p>
    <w:bookmarkEnd w:id="62"/>
    <w:bookmarkStart w:id="64" w:name="ref-anderson_estimating_2014"/>
    <w:p>
      <w:pPr>
        <w:pStyle w:val="Bibliografa"/>
      </w:pPr>
      <w:r>
        <w:t xml:space="preserve">Anderson, M. G., M. Clark, e A. O. Sheldon. 2014.</w:t>
      </w:r>
      <w:r>
        <w:t xml:space="preserve"> </w:t>
      </w:r>
      <w:hyperlink r:id="rId63">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4"/>
    <w:bookmarkStart w:id="65" w:name="ref-anderson_resilient_2016"/>
    <w:p>
      <w:pPr>
        <w:pStyle w:val="Bibliografa"/>
      </w:pPr>
      <w:r>
        <w:t xml:space="preserve">Anderson, M. G., M. Clark, e A. O. Sheldon. 2016a.</w:t>
      </w:r>
      <w:r>
        <w:t xml:space="preserve"> </w:t>
      </w:r>
      <w:hyperlink r:id="rId63">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65"/>
    <w:bookmarkStart w:id="66"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66"/>
    <w:bookmarkStart w:id="68" w:name="ref-gorelick_google_2017"/>
    <w:p>
      <w:pPr>
        <w:pStyle w:val="Bibliografa"/>
      </w:pPr>
      <w:r>
        <w:t xml:space="preserve">Gorelick, N., M. Hancher, M. Dixon, S. Ilyushchenko, D. Thau, e R. Moore. 2017.</w:t>
      </w:r>
      <w:r>
        <w:t xml:space="preserve"> </w:t>
      </w:r>
      <w:hyperlink r:id="rId67">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68"/>
    <w:bookmarkStart w:id="70" w:name="ref-gumbricht_tropical_2017"/>
    <w:p>
      <w:pPr>
        <w:pStyle w:val="Bibliografa"/>
      </w:pPr>
      <w:r>
        <w:t xml:space="preserve">Gumbricht, T., R. M. Román-Cuesta, L. V. Verchot, M. Herold, F. Wittmann, E. Householder, N. Herold, e D. Murdiyarso. 2017.</w:t>
      </w:r>
      <w:r>
        <w:t xml:space="preserve"> </w:t>
      </w:r>
      <w:hyperlink r:id="rId69">
        <w:r>
          <w:rPr>
            <w:rStyle w:val="Hipervnculo"/>
          </w:rPr>
          <w:t xml:space="preserve">Tropical and Subtropical Wetlands Distribution Version 2</w:t>
        </w:r>
      </w:hyperlink>
      <w:r>
        <w:t xml:space="preserve">.</w:t>
      </w:r>
    </w:p>
    <w:bookmarkEnd w:id="70"/>
    <w:bookmarkStart w:id="72" w:name="ref-theobald_ecologically-relevant_2015"/>
    <w:p>
      <w:pPr>
        <w:pStyle w:val="Bibliografa"/>
      </w:pPr>
      <w:r>
        <w:t xml:space="preserve">Theobald, D. M., D. Harrison-Atlas, W. B. Monahan, e C. M. Albano. 2015.</w:t>
      </w:r>
      <w:r>
        <w:t xml:space="preserve"> </w:t>
      </w:r>
      <w:hyperlink r:id="rId71">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72"/>
    <w:bookmarkEnd w:id="73"/>
    <w:bookmarkEnd w:id="7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67" Target="https://doi.org/10.1016/j.rse.2017.06.031" TargetMode="External" /><Relationship Type="http://schemas.openxmlformats.org/officeDocument/2006/relationships/hyperlink" Id="rId61" Target="https://doi.org/10.1073/pnas.2204434119" TargetMode="External" /><Relationship Type="http://schemas.openxmlformats.org/officeDocument/2006/relationships/hyperlink" Id="rId63" Target="https://doi.org/10.1111/cobi.12272" TargetMode="External" /><Relationship Type="http://schemas.openxmlformats.org/officeDocument/2006/relationships/hyperlink" Id="rId71" Target="https://doi.org/10.1371/journal.pone.0143619" TargetMode="External" /><Relationship Type="http://schemas.openxmlformats.org/officeDocument/2006/relationships/hyperlink" Id="rId69" Target="https://doi.org/10.17528/cifor/data.00058" TargetMode="External" /><Relationship Type="http://schemas.openxmlformats.org/officeDocument/2006/relationships/hyperlink" Id="rId59"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j.rse.2017.06.031" TargetMode="External" /><Relationship Type="http://schemas.openxmlformats.org/officeDocument/2006/relationships/hyperlink" Id="rId61" Target="https://doi.org/10.1073/pnas.2204434119" TargetMode="External" /><Relationship Type="http://schemas.openxmlformats.org/officeDocument/2006/relationships/hyperlink" Id="rId63" Target="https://doi.org/10.1111/cobi.12272" TargetMode="External" /><Relationship Type="http://schemas.openxmlformats.org/officeDocument/2006/relationships/hyperlink" Id="rId71" Target="https://doi.org/10.1371/journal.pone.0143619" TargetMode="External" /><Relationship Type="http://schemas.openxmlformats.org/officeDocument/2006/relationships/hyperlink" Id="rId69" Target="https://doi.org/10.17528/cifor/data.00058" TargetMode="External" /><Relationship Type="http://schemas.openxmlformats.org/officeDocument/2006/relationships/hyperlink" Id="rId59"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2023-06-03T03:19:58Z</dcterms:created>
  <dcterms:modified xsi:type="dcterms:W3CDTF">2023-06-03T03:19:58Z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