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climáticas modificam os ambientes naturais e pressionam as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o uso do solo e as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 Brasil</w:t>
      </w:r>
      <w:r>
        <w:t xml:space="preserve"> </w:t>
      </w:r>
      <w:r>
        <w:t xml:space="preserve">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Eugenia Cordero Schmidt</w:t>
            </w:r>
          </w:p>
        </w:tc>
        <w:tc>
          <w:tcPr/>
          <w:p>
            <w:pPr>
              <w:pStyle w:val="Compact"/>
              <w:jc w:val="left"/>
            </w:pPr>
            <w:r>
              <w:t xml:space="preserve">IUCN</w:t>
            </w:r>
          </w:p>
        </w:tc>
        <w:tc>
          <w:tcPr/>
          <w:p>
            <w:pPr>
              <w:pStyle w:val="Compact"/>
              <w:jc w:val="left"/>
            </w:pPr>
            <w:r>
              <w:t xml:space="preserve">João Pessoa</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oficinas-e-atividades-previstas"/>
    <w:p>
      <w:pPr>
        <w:pStyle w:val="Ttulo1"/>
      </w:pPr>
      <w:r>
        <w:t xml:space="preserve">3. Oficinas e atividades previstas</w:t>
      </w:r>
    </w:p>
    <w:p>
      <w:pPr>
        <w:pStyle w:val="FirstParagraph"/>
      </w:pPr>
      <w:r>
        <w:t xml:space="preserve">As atividades previstas para o projeto serão divididas em duas etapas: a primeira é a aplicação da metodologia de mapeamento de diversidade da paisagem, conectividade local e resiliência da paisagem, descritas anteriormente. A segunda etapa corresponde ao refinamento e adaptação desta metodologia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soluções de potenciais fraquezas do projeto.</w:t>
      </w:r>
    </w:p>
    <w:p>
      <w:pPr>
        <w:pStyle w:val="Textoindependiente"/>
      </w:pPr>
      <w:r>
        <w:t xml:space="preserve">Esses</w:t>
      </w:r>
      <w:r>
        <w:t xml:space="preserve"> </w:t>
      </w:r>
      <w:r>
        <w:rPr>
          <w:iCs/>
          <w:i/>
        </w:rPr>
        <w:t xml:space="preserve">workshops</w:t>
      </w:r>
      <w:r>
        <w:t xml:space="preserve"> </w:t>
      </w:r>
      <w:r>
        <w:t xml:space="preserve">terão como objetivo discutir a metodologia proposta e sugerir adequações (metodológicas e de bases de dados) às características dos ecossistemas e particularidades dos biomas brasileiros. As exequibilidade das sugestões serão posteriormente avaliadas internamente sob as condições limitantes de tempo de término do projeto.</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2"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e steep slope</w:t>
      </w:r>
      <w:r>
        <w:t xml:space="preserve">)</w:t>
      </w:r>
    </w:p>
    <w:p>
      <w:pPr>
        <w:numPr>
          <w:ilvl w:val="0"/>
          <w:numId w:val="1006"/>
        </w:numPr>
        <w:pStyle w:val="Compact"/>
      </w:pPr>
      <w:r>
        <w:t xml:space="preserve">topos de montanha e divisores de águas (</w:t>
      </w:r>
      <w:r>
        <w:rPr>
          <w:iCs/>
          <w:i/>
        </w:rPr>
        <w:t xml:space="preserve">summit/ridge-top</w:t>
      </w:r>
      <w:r>
        <w:t xml:space="preserve">)</w:t>
      </w:r>
    </w:p>
    <w:p>
      <w:pPr>
        <w:numPr>
          <w:ilvl w:val="0"/>
          <w:numId w:val="1006"/>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6"/>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35"/>
    <w:bookmarkStart w:id="36" w:name="índice-de-áreas-úmidas"/>
    <w:p>
      <w:pPr>
        <w:pStyle w:val="Ttulo4"/>
      </w:pPr>
      <w:r>
        <w:t xml:space="preserve">4.2.1.3 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 A densidade e quantidade de áreas úmidas é resumido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36"/>
    <w:bookmarkStart w:id="37" w:name="diversidade-de-solo"/>
    <w:p>
      <w:pPr>
        <w:pStyle w:val="Ttulo4"/>
      </w:pPr>
      <w:r>
        <w:t xml:space="preserve">4.2.1.4 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a média ponderada das resistências dentro uma vizinhança de , sendo os pesos um decaimento linear pela distância da célula focal.</w:t>
      </w:r>
      <w:r>
        <w:t xml:space="preserve"> </w:t>
      </w:r>
    </w:p>
    <w:bookmarkEnd w:id="39"/>
    <w:bookmarkStart w:id="40" w:name="dados-padronizados-z-scores"/>
    <w:p>
      <w:pPr>
        <w:pStyle w:val="Ttulo3"/>
      </w:pPr>
      <w:r>
        <w:t xml:space="preserve">4.2.3 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das</w:t>
      </w:r>
      <w:r>
        <w:t xml:space="preserve"> </w:t>
      </w:r>
      <w:hyperlink w:anchor="regiões-eco-geológicas">
        <w:r>
          <w:rPr>
            <w:rStyle w:val="Hipervnculo"/>
            <w:bCs/>
            <w:b/>
          </w:rPr>
          <w:t xml:space="preserve">Regiões eco-geológicas</w:t>
        </w:r>
      </w:hyperlink>
      <w:r>
        <w:t xml:space="preserve">. Isso garante a inclusão de condições físicas e ambientais distintas e permite capturar variações na composição da biota associada. Posteriomente, os valores de Z são combinados em diversidade da paisagem, exceto conectividade local.</w:t>
      </w:r>
    </w:p>
    <w:bookmarkEnd w:id="40"/>
    <w:bookmarkStart w:id="41" w:name="X29eeab9ab0de43df124e8398aa33595e4e2b412"/>
    <w:p>
      <w:pPr>
        <w:pStyle w:val="Ttulo3"/>
      </w:pPr>
      <w:r>
        <w:t xml:space="preserve">4.2.4 Resiliência: combinando diversidade da paisagem e conectividade local</w:t>
      </w:r>
    </w:p>
    <w:p>
      <w:pPr>
        <w:pStyle w:val="FirstParagraph"/>
      </w:pPr>
      <w:r>
        <w:t xml:space="preserve">Finalmente, a resiliência da paisagem é determinada pela média diversidade da paisagem e e valor de Z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1"/>
    <w:bookmarkEnd w:id="42"/>
    <w:bookmarkEnd w:id="43"/>
    <w:bookmarkStart w:id="63"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2"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right"/>
            </w:pPr>
            <w:r>
              <w:t xml:space="preserve">Inclinação</w:t>
            </w:r>
          </w:p>
        </w:tc>
        <w:tc>
          <w:tcPr/>
          <w:p>
            <w:pPr>
              <w:pStyle w:val="Compact"/>
              <w:jc w:val="right"/>
            </w:pPr>
            <w:r>
              <w:t xml:space="preserve">Grupo</w:t>
            </w:r>
          </w:p>
        </w:tc>
      </w:tr>
      <w:tr>
        <w:tc>
          <w:tcPr/>
          <w:p>
            <w:pPr>
              <w:pStyle w:val="Compact"/>
              <w:jc w:val="right"/>
            </w:pPr>
            <w:r>
              <w:t xml:space="preserve">0º a 2º</w:t>
            </w:r>
          </w:p>
        </w:tc>
        <w:tc>
          <w:tcPr/>
          <w:p>
            <w:pPr>
              <w:pStyle w:val="Compact"/>
              <w:jc w:val="right"/>
            </w:pPr>
            <w:r>
              <w:t xml:space="preserve">1</w:t>
            </w:r>
          </w:p>
        </w:tc>
      </w:tr>
      <w:tr>
        <w:tc>
          <w:tcPr/>
          <w:p>
            <w:pPr>
              <w:pStyle w:val="Compact"/>
              <w:jc w:val="right"/>
            </w:pPr>
            <w:r>
              <w:t xml:space="preserve">2º a 6º</w:t>
            </w:r>
          </w:p>
        </w:tc>
        <w:tc>
          <w:tcPr/>
          <w:p>
            <w:pPr>
              <w:pStyle w:val="Compact"/>
              <w:jc w:val="right"/>
            </w:pPr>
            <w:r>
              <w:t xml:space="preserve">2</w:t>
            </w:r>
          </w:p>
        </w:tc>
      </w:tr>
      <w:tr>
        <w:tc>
          <w:tcPr/>
          <w:p>
            <w:pPr>
              <w:pStyle w:val="Compact"/>
              <w:jc w:val="right"/>
            </w:pPr>
            <w:r>
              <w:t xml:space="preserve">6º a 24º</w:t>
            </w:r>
          </w:p>
        </w:tc>
        <w:tc>
          <w:tcPr/>
          <w:p>
            <w:pPr>
              <w:pStyle w:val="Compact"/>
              <w:jc w:val="right"/>
            </w:pPr>
            <w:r>
              <w:t xml:space="preserve">3</w:t>
            </w:r>
          </w:p>
        </w:tc>
      </w:tr>
      <w:tr>
        <w:tc>
          <w:tcPr/>
          <w:p>
            <w:pPr>
              <w:pStyle w:val="Compact"/>
              <w:jc w:val="right"/>
            </w:pPr>
            <w:r>
              <w:t xml:space="preserve">24º a 35º</w:t>
            </w:r>
          </w:p>
        </w:tc>
        <w:tc>
          <w:tcPr/>
          <w:p>
            <w:pPr>
              <w:pStyle w:val="Compact"/>
              <w:jc w:val="right"/>
            </w:pPr>
            <w:r>
              <w:t xml:space="preserve">4</w:t>
            </w:r>
          </w:p>
        </w:tc>
      </w:tr>
      <w:tr>
        <w:tc>
          <w:tcPr/>
          <w:p>
            <w:pPr>
              <w:pStyle w:val="Compact"/>
              <w:jc w:val="right"/>
            </w:pPr>
            <w:r>
              <w:t xml:space="preserve">35º a 90º</w:t>
            </w:r>
          </w:p>
        </w:tc>
        <w:tc>
          <w:tcPr/>
          <w:p>
            <w:pPr>
              <w:pStyle w:val="Compact"/>
              <w:jc w:val="righ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valores-de-áreas-úmidas"/>
    <w:p>
      <w:pPr>
        <w:pStyle w:val="Ttulo4"/>
      </w:pPr>
      <w:r>
        <w:t xml:space="preserve">5.2.1.3 Valores de áreas úmidas</w:t>
      </w:r>
    </w:p>
    <w:p>
      <w:pPr>
        <w:pStyle w:val="FirstParagraph"/>
      </w:pPr>
      <w:r>
        <w:t xml:space="preserve">Para calcular os valores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de banhado,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concentrações de pixels de áreas úmidas, que apresentem baixos valores de densidade de áreas úmidas.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0" w:name="conectividade-local-1"/>
    <w:p>
      <w:pPr>
        <w:pStyle w:val="Ttulo3"/>
      </w:pPr>
      <w:r>
        <w:t xml:space="preserve">5.2.2 Conectividade local</w:t>
      </w:r>
    </w:p>
    <w:bookmarkStart w:id="59"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r>
        <w:rPr>
          <w:bCs/>
          <w:b/>
        </w:rPr>
        <w:t xml:space="preserve">?@tbl-resistencia</w:t>
      </w:r>
      <w:r>
        <w:t xml:space="preserve">.</w:t>
      </w:r>
    </w:p>
    <w:p>
      <w:pPr>
        <w:pStyle w:val="Textoindependiente"/>
      </w:pPr>
      <w:r>
        <w:t xml:space="preserve">|Classe de cobertura do solo|Amazônia| Caatinga| Cerrado |MataAtlântica| Pampa Pantanal|</w:t>
      </w:r>
      <w:r>
        <w:t xml:space="preserve"> </w:t>
      </w:r>
      <w:r>
        <w:t xml:space="preserve">|–:|–:|–:||–:|–:|–:|–:|</w:t>
      </w:r>
      <w:r>
        <w:t xml:space="preserve"> </w:t>
      </w:r>
      <w:r>
        <w:t xml:space="preserve">|Aquaculture|- |10 |7 |7 |7 |- |</w:t>
      </w:r>
      <w:r>
        <w:t xml:space="preserve"> </w:t>
      </w:r>
      <w:r>
        <w:t xml:space="preserve">|Beach, Dune and Sand Spot|2 |2 |2 |2 |2 |- |</w:t>
      </w:r>
      <w:r>
        <w:t xml:space="preserve"> </w:t>
      </w:r>
      <w:r>
        <w:t xml:space="preserve">|Citrus|- |- |10 |10 |- |- |</w:t>
      </w:r>
      <w:r>
        <w:t xml:space="preserve"> </w:t>
      </w:r>
      <w:r>
        <w:t xml:space="preserve">|Coffee|- |7 |10 |10 |- |- |</w:t>
      </w:r>
      <w:r>
        <w:t xml:space="preserve"> </w:t>
      </w:r>
      <w:r>
        <w:t xml:space="preserve">|Cotton|7 |7 |10 |- |- |- |</w:t>
      </w:r>
      <w:r>
        <w:t xml:space="preserve"> </w:t>
      </w:r>
      <w:r>
        <w:t xml:space="preserve">|Estradas não pavimentadas|10 |10 |7 |10 |7 |7 |</w:t>
      </w:r>
      <w:r>
        <w:t xml:space="preserve"> </w:t>
      </w:r>
      <w:r>
        <w:t xml:space="preserve">|Estradas pavimentadas|20 |20 |20 |20 |20 |20|</w:t>
      </w:r>
      <w:r>
        <w:t xml:space="preserve"> </w:t>
      </w:r>
      <w:r>
        <w:t xml:space="preserve">|Forest Formation|1 |1 |1 |1 |1 |1 |</w:t>
      </w:r>
      <w:r>
        <w:t xml:space="preserve"> </w:t>
      </w:r>
      <w:r>
        <w:t xml:space="preserve">|Forest Plantation|7 |2 |7 |3 |10 |5 |</w:t>
      </w:r>
      <w:r>
        <w:t xml:space="preserve"> </w:t>
      </w:r>
      <w:r>
        <w:t xml:space="preserve">|Grassland|2 |1 |1 |2 |1 |1 |</w:t>
      </w:r>
      <w:r>
        <w:t xml:space="preserve"> </w:t>
      </w:r>
      <w:r>
        <w:t xml:space="preserve">|Herbaceous Sandbank Vegetation |- |1 |- |2 |1 |- |</w:t>
      </w:r>
      <w:r>
        <w:t xml:space="preserve"> </w:t>
      </w:r>
      <w:r>
        <w:t xml:space="preserve">|Mangrove|1 |1 |1 |1 |- |- |</w:t>
      </w:r>
      <w:r>
        <w:t xml:space="preserve"> </w:t>
      </w:r>
      <w:r>
        <w:t xml:space="preserve">|Mining|20 |20 |20 |20 |20 |20|</w:t>
      </w:r>
      <w:r>
        <w:t xml:space="preserve"> </w:t>
      </w:r>
      <w:r>
        <w:t xml:space="preserve">|Mosaic of Uses|7 |7 |10 |10 |10 |10|</w:t>
      </w:r>
      <w:r>
        <w:t xml:space="preserve"> </w:t>
      </w:r>
      <w:r>
        <w:t xml:space="preserve">|Other non Forest Formations|- |- |- |7 |- |- |</w:t>
      </w:r>
      <w:r>
        <w:t xml:space="preserve"> </w:t>
      </w:r>
      <w:r>
        <w:t xml:space="preserve">|Other non Vegetated Areas|- |9 |10 |10 |10 |10|</w:t>
      </w:r>
      <w:r>
        <w:t xml:space="preserve"> </w:t>
      </w:r>
      <w:r>
        <w:t xml:space="preserve">|Other Perennial Crops|7 |7 |10 |10 |- |- |</w:t>
      </w:r>
      <w:r>
        <w:t xml:space="preserve"> </w:t>
      </w:r>
      <w:r>
        <w:t xml:space="preserve">|Other Temporary Crops|15 |7 |10 |10 |10 |10|</w:t>
      </w:r>
      <w:r>
        <w:t xml:space="preserve"> </w:t>
      </w:r>
      <w:r>
        <w:t xml:space="preserve">|Pasture|15 |7 |5 |9 |5 |7 |</w:t>
      </w:r>
      <w:r>
        <w:t xml:space="preserve"> </w:t>
      </w:r>
      <w:r>
        <w:t xml:space="preserve">|Rice|- |- |10 |10 |10 |- |</w:t>
      </w:r>
      <w:r>
        <w:t xml:space="preserve"> </w:t>
      </w:r>
      <w:r>
        <w:t xml:space="preserve">|River, Lake and Ocean|2 |5 |5 |5 |5 |2 |</w:t>
      </w:r>
      <w:r>
        <w:t xml:space="preserve"> </w:t>
      </w:r>
      <w:r>
        <w:t xml:space="preserve">|Rocky Outcrop|- |1 |2 |2 |2 |- |</w:t>
      </w:r>
      <w:r>
        <w:t xml:space="preserve"> </w:t>
      </w:r>
      <w:r>
        <w:t xml:space="preserve">|Salt Flat|2 |1 |2 |2 |- |- |</w:t>
      </w:r>
      <w:r>
        <w:t xml:space="preserve"> </w:t>
      </w:r>
      <w:r>
        <w:t xml:space="preserve">|Savanna Formation|2 |1 |1 |2 |- |2 |</w:t>
      </w:r>
      <w:r>
        <w:t xml:space="preserve"> </w:t>
      </w:r>
      <w:r>
        <w:t xml:space="preserve">|Soybean|15 |10 |10 |10 |10 |10|</w:t>
      </w:r>
      <w:r>
        <w:t xml:space="preserve"> </w:t>
      </w:r>
      <w:r>
        <w:t xml:space="preserve">|Sugar cane|15 |10 |10 |10 |- |10|</w:t>
      </w:r>
      <w:r>
        <w:t xml:space="preserve"> </w:t>
      </w:r>
      <w:r>
        <w:t xml:space="preserve">|Urban Area|20 |20 |20 |20 |20 |20|</w:t>
      </w:r>
      <w:r>
        <w:t xml:space="preserve"> </w:t>
      </w:r>
      <w:r>
        <w:t xml:space="preserve">|Wetland| 1 |- |1 |1 |1 |1 |</w:t>
      </w:r>
      <w:r>
        <w:t xml:space="preserve"> </w:t>
      </w:r>
      <w:r>
        <w:t xml:space="preserve">|Wooded Sandbank Vegetation|- |1 |- |1 |1 |- |</w:t>
      </w:r>
      <w:r>
        <w:t xml:space="preserve"> </w:t>
      </w:r>
      <w:r>
        <w:t xml:space="preserve">: Valores de resistência para cada tipo de cobertura por bioma {#tbl-resistencia}</w:t>
      </w:r>
    </w:p>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59"/>
    <w:bookmarkEnd w:id="60"/>
    <w:bookmarkStart w:id="61"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1"/>
    <w:bookmarkEnd w:id="62"/>
    <w:bookmarkEnd w:id="63"/>
    <w:bookmarkStart w:id="65"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4">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5"/>
    <w:bookmarkStart w:id="85" w:name="references"/>
    <w:p>
      <w:pPr>
        <w:pStyle w:val="Ttulo1"/>
      </w:pPr>
      <w:r>
        <w:t xml:space="preserve">References</w:t>
      </w:r>
    </w:p>
    <w:bookmarkStart w:id="84" w:name="refs"/>
    <w:bookmarkStart w:id="67" w:name="ref-anderson_resilient_2023"/>
    <w:p>
      <w:pPr>
        <w:pStyle w:val="Bibliografa"/>
      </w:pPr>
      <w:r>
        <w:t xml:space="preserve">Anderson, M. G., M. Clark, A. P. Olivero, A. R. Barnett, K. R. Hall, M. W. Cornett, M. Ahlering, M. Schindel, B. Unnasch, C. Schloss, e D. R. Cameron. 2023.</w:t>
      </w:r>
      <w:r>
        <w:t xml:space="preserve"> </w:t>
      </w:r>
      <w:hyperlink r:id="rId66">
        <w:r>
          <w:rPr>
            <w:rStyle w:val="Hipervnculo"/>
          </w:rPr>
          <w:t xml:space="preserve">A Resilient and Connected Network of Sites to Sustain Biodiversity under a Changing Climate</w:t>
        </w:r>
      </w:hyperlink>
      <w:r>
        <w:t xml:space="preserve">. Proceedings of the National Academy of Sciences 120:e2204434119.</w:t>
      </w:r>
    </w:p>
    <w:bookmarkEnd w:id="67"/>
    <w:bookmarkStart w:id="69" w:name="ref-anderson_estimating_2014"/>
    <w:p>
      <w:pPr>
        <w:pStyle w:val="Bibliografa"/>
      </w:pPr>
      <w:r>
        <w:t xml:space="preserve">Anderson, M. G., M. Clark, e A. O. Sheldon. 2014.</w:t>
      </w:r>
      <w:r>
        <w:t xml:space="preserve"> </w:t>
      </w:r>
      <w:hyperlink r:id="rId6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9"/>
    <w:bookmarkStart w:id="70" w:name="ref-anderson_resilient_2016"/>
    <w:p>
      <w:pPr>
        <w:pStyle w:val="Bibliografa"/>
      </w:pPr>
      <w:r>
        <w:t xml:space="preserve">Anderson, M. G., M. Clark, e A. O. Sheldon. 2016a.</w:t>
      </w:r>
      <w:r>
        <w:t xml:space="preserve"> </w:t>
      </w:r>
      <w:hyperlink r:id="rId6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0"/>
    <w:bookmarkStart w:id="71"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1"/>
    <w:bookmarkStart w:id="73" w:name="ref-gorelick_google_2017"/>
    <w:p>
      <w:pPr>
        <w:pStyle w:val="Bibliografa"/>
      </w:pPr>
      <w:r>
        <w:t xml:space="preserve">Gorelick, N., M. Hancher, M. Dixon, S. Ilyushchenko, D. Thau, e R. Moore. 2017.</w:t>
      </w:r>
      <w:r>
        <w:t xml:space="preserve"> </w:t>
      </w:r>
      <w:hyperlink r:id="rId72">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3"/>
    <w:bookmarkStart w:id="75" w:name="ref-gumbricht_tropical_2017"/>
    <w:p>
      <w:pPr>
        <w:pStyle w:val="Bibliografa"/>
      </w:pPr>
      <w:r>
        <w:t xml:space="preserve">Gumbricht, T., R. M. Román-Cuesta, L. V. Verchot, M. Herold, F. Wittmann, E. Householder, N. Herold, e D. Murdiyarso. 2017.</w:t>
      </w:r>
      <w:r>
        <w:t xml:space="preserve"> </w:t>
      </w:r>
      <w:hyperlink r:id="rId74">
        <w:r>
          <w:rPr>
            <w:rStyle w:val="Hipervnculo"/>
          </w:rPr>
          <w:t xml:space="preserve">Tropical and Subtropical Wetlands Distribution Version 2</w:t>
        </w:r>
      </w:hyperlink>
      <w:r>
        <w:t xml:space="preserve">.</w:t>
      </w:r>
    </w:p>
    <w:bookmarkEnd w:id="75"/>
    <w:bookmarkStart w:id="76"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6"/>
    <w:bookmarkStart w:id="77"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7"/>
    <w:bookmarkStart w:id="79" w:name="ref-theobald_ecologically-relevant_2015"/>
    <w:p>
      <w:pPr>
        <w:pStyle w:val="Bibliografa"/>
      </w:pPr>
      <w:r>
        <w:t xml:space="preserve">Theobald, D. M., D. Harrison-Atlas, W. B. Monahan, e C. M. Albano. 2015.</w:t>
      </w:r>
      <w:r>
        <w:t xml:space="preserve"> </w:t>
      </w:r>
      <w:hyperlink r:id="rId78">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9"/>
    <w:bookmarkStart w:id="81" w:name="ref-yamazaki_merit_2019"/>
    <w:p>
      <w:pPr>
        <w:pStyle w:val="Bibliografa"/>
      </w:pPr>
      <w:r>
        <w:t xml:space="preserve">Yamazaki, D., D. Ikeshima, J. Sosa, P. D. Bates, G. H. Allen, e T. M. Pavelsky. 2019.</w:t>
      </w:r>
      <w:r>
        <w:t xml:space="preserve"> </w:t>
      </w:r>
      <w:hyperlink r:id="rId80">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1"/>
    <w:bookmarkStart w:id="83" w:name="ref-yamazaki_high-accuracy_2017"/>
    <w:p>
      <w:pPr>
        <w:pStyle w:val="Bibliografa"/>
      </w:pPr>
      <w:r>
        <w:t xml:space="preserve">Yamazaki, D., D. Ikeshima, R. Tawatari, T. Yamaguchi, F. O’Loughlin, J. C. Neal, C. C. Sampson, S. Kanae, e P. D. Bates. 2017.</w:t>
      </w:r>
      <w:r>
        <w:t xml:space="preserve"> </w:t>
      </w:r>
      <w:hyperlink r:id="rId82">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3"/>
    <w:bookmarkEnd w:id="84"/>
    <w:bookmarkEnd w:id="85"/>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2023-06-07T16:02:06Z</dcterms:created>
  <dcterms:modified xsi:type="dcterms:W3CDTF">2023-06-07T16:02:06Z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