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iliência-da-paisagem"/>
    <w:p>
      <w:pPr>
        <w:pStyle w:val="Ttulo1"/>
      </w:pPr>
      <w:r>
        <w:t xml:space="preserve">Resiliência da paisagem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resiliência da paisagem</w:t>
      </w:r>
      <w:r>
        <w:t xml:space="preserve"> </w:t>
      </w:r>
      <w:r>
        <w:t xml:space="preserve">é definida como a capacidade de um local manter a diversidade de espécies e funções ecossistêmicas perante as pressões impostas por mudanças climáticas. Ela foi calculada como a média entre os valores padronizados (</w:t>
      </w:r>
      <m:oMath>
        <m:r>
          <m:t>Z</m:t>
        </m:r>
      </m:oMath>
      <w:r>
        <w:t xml:space="preserve">) de</w:t>
      </w:r>
      <w:r>
        <w:t xml:space="preserve"> </w:t>
      </w:r>
      <w:hyperlink w:anchor="diversidade-da-paisagem">
        <w:r>
          <w:rPr>
            <w:rStyle w:val="Hipervnculo"/>
            <w:bCs/>
            <w:b/>
          </w:rPr>
          <w:t xml:space="preserve">diversidade da paisagem</w:t>
        </w:r>
      </w:hyperlink>
      <w:r>
        <w:t xml:space="preserve"> </w:t>
      </w:r>
      <w:r>
        <w:t xml:space="preserve">e</w:t>
      </w:r>
      <w:r>
        <w:t xml:space="preserve"> </w:t>
      </w:r>
      <w:hyperlink w:anchor="conectividade-local">
        <w:r>
          <w:rPr>
            <w:rStyle w:val="Hipervnculo"/>
            <w:bCs/>
            <w:b/>
          </w:rPr>
          <w:t xml:space="preserve">conectividade local</w:t>
        </w:r>
      </w:hyperlink>
      <w:r>
        <w:t xml:space="preserve">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2023-09-09T14:40:13Z</dcterms:created>
  <dcterms:modified xsi:type="dcterms:W3CDTF">2023-09-09T14:40:13Z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