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sultados-preliminares"/>
    <w:p>
      <w:pPr>
        <w:pStyle w:val="Ttulo1"/>
      </w:pPr>
      <w:r>
        <w:t xml:space="preserve">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20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21" w:name="diversidade-da-paisagem"/>
    <w:p>
      <w:pPr>
        <w:pStyle w:val="Ttulo2"/>
      </w:pPr>
      <w:r>
        <w:t xml:space="preserve">Diversidade da paisagem</w:t>
      </w:r>
    </w:p>
    <w:bookmarkEnd w:id="21"/>
    <w:bookmarkStart w:id="22" w:name="conectividade-da-paisagem"/>
    <w:p>
      <w:pPr>
        <w:pStyle w:val="Ttulo2"/>
      </w:pPr>
      <w:r>
        <w:t xml:space="preserve">Conectividade da paisagem</w:t>
      </w:r>
    </w:p>
    <w:bookmarkEnd w:id="22"/>
    <w:bookmarkStart w:id="23" w:name="resiliência-da-paisagem"/>
    <w:p>
      <w:pPr>
        <w:pStyle w:val="Ttulo2"/>
      </w:pPr>
      <w:r>
        <w:t xml:space="preserve">Resiliência da paisagem</w:t>
      </w:r>
    </w:p>
    <w:bookmarkEnd w:id="23"/>
    <w:bookmarkEnd w:id="2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ojeto-resiliencia-tnc.hub.arcgis.com/?share=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ojeto-resiliencia-tnc.hub.arcgis.com/?share=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2023-09-22T21:25:06Z</dcterms:created>
  <dcterms:modified xsi:type="dcterms:W3CDTF">2023-09-22T21:25:06Z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