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50.png" ContentType="image/png"/>
  <Override PartName="/word/media/rId35.png" ContentType="image/png"/>
  <Override PartName="/word/media/rId47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síntese-do-projeto"/>
    <w:p>
      <w:pPr>
        <w:pStyle w:val="Heading1"/>
      </w:pPr>
      <w:r>
        <w:t xml:space="preserve">Síntese do projeto</w:t>
      </w:r>
    </w:p>
    <w:bookmarkStart w:id="20" w:name="contexto-geral-do-estudo"/>
    <w:p>
      <w:pPr>
        <w:pStyle w:val="Heading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 distribuição espacial para locais mais adequados climaticamente. A identificação de locais com potencial para sustentar a biodiversidade no futuro de mudanças climáticas é imprescindível para o planejamento de ações de conservação e restauração.</w:t>
      </w:r>
    </w:p>
    <w:bookmarkEnd w:id="20"/>
    <w:bookmarkStart w:id="21" w:name="o-que-queremos-fazer"/>
    <w:p>
      <w:pPr>
        <w:pStyle w:val="Heading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áreas resilientes</w:t>
      </w:r>
      <w:r>
        <w:t xml:space="preserve">, que permitam a movimentação da biodiversidade na busca de áreas mais adequadas climaticamente em um cenário de mudança climáticas.</w:t>
      </w:r>
    </w:p>
    <w:p>
      <w:pPr>
        <w:pStyle w:val="BodyText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, neste contexto, indica locais com alta diversidade microclimática e conectividade, condições necessárias para que espécies e processos ecológicos persistam às mudanças climáticas regionais.</w:t>
      </w:r>
    </w:p>
    <w:bookmarkEnd w:id="21"/>
    <w:bookmarkStart w:id="22" w:name="quais-as-premissas-básicas-desse-estudo"/>
    <w:p>
      <w:pPr>
        <w:pStyle w:val="Heading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resultante da combinação de características do meio físico, (ex. feições topográficas, altitude, disponibilidade hídrica e tipo de solo) proporcionam variabilidade microclimática, que fornecem refúgios microclimáticos e heterogeneidade de habitats para as espécies.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à movimentação das espécies é proporcionada pela resistência dos tipos de uso e cobertura do solo e a sua estruturação na paisagem.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resiliência da paisagem</w:t>
      </w:r>
      <w:r>
        <w:t xml:space="preserve"> </w:t>
      </w:r>
      <w:r>
        <w:t xml:space="preserve">às mudanças do clima é influenciada pela heterogeneidade da paisagem, que gera condições microclimáticas diversificadas para as espécies, e pela conectividade desses habitats na paisagem, que permitem a movimentação desses organismos para áreas mais adequadas climaticamente.</w:t>
      </w:r>
    </w:p>
    <w:bookmarkEnd w:id="22"/>
    <w:bookmarkStart w:id="23" w:name="qual-metodologia-estamos-utilizando"/>
    <w:p>
      <w:pPr>
        <w:pStyle w:val="Heading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combina a heterogeneidade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para identificar locais que possibilitem adaptação das espécies às mudanças climáticas, cujas paisagens sejam permeáveis à movimentação das espécies.</w:t>
      </w:r>
    </w:p>
    <w:p>
      <w:pPr>
        <w:pStyle w:val="BodyText"/>
      </w:pPr>
      <w:r>
        <w:t xml:space="preserve">O mapeamento da heterogeneidade da paisagem é baseado na geodiversidade (ex. geomorfologia, geologia, pedologia e hidrologia) do terreno e inclui a variedade de formas de relevo, amplitude altitudinal, índice de áreas úmidas e riqueza de solos.</w:t>
      </w:r>
    </w:p>
    <w:p>
      <w:pPr>
        <w:pStyle w:val="BodyText"/>
      </w:pPr>
      <w:r>
        <w:t xml:space="preserve">A conectividade local é baseada na resistência das classes de uso da terra da paisagem ao movimento da biodiversidade, combinando classes naturais e antropizadas, além das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Heading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e complementa metodologias baseadas em dados climáticos, uma vez que ela foca nas características do terreno para identificar áreas resilientes.</w:t>
      </w:r>
    </w:p>
    <w:p>
      <w:pPr>
        <w:pStyle w:val="BodyText"/>
      </w:pPr>
      <w:r>
        <w:t xml:space="preserve">A aplicação da metodologia da TNC para os biomas brasileiros é um passo importante na identificação de áreas resilientes em ambientes tropicais megadiversos. 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Heading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os seis biomas do Brasil. Para isso, em cada bioma temos coordenadores(as) responsáveis em instituições de pesquisa, além de um(a) pesquisador(a) de pós-doutorado diretamente envolvido(a) no projeto. Há ainda uma equipe de especialistas, de diversas áreas de atuação relacionadas à Temática do projeto, que participam como colaboradores do desenvolvimento do estudo.</w:t>
      </w:r>
    </w:p>
    <w:bookmarkEnd w:id="25"/>
    <w:bookmarkStart w:id="26" w:name="Xe56ab98ad0e963e24a464bcc75abf59516df2c8"/>
    <w:p>
      <w:pPr>
        <w:pStyle w:val="Heading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para os biomas do Brasil, que permite identificar o potencial de cada área de sustentar a biodiversidade com o clima sob mudanças. Está em construção também um relatório técnico descrevendo o projeto e a metodologia utilizada, além de uma documentação reproduzível das análises. 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Heading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 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Heading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53" w:name="instituições-parceiras-do-projeto"/>
    <w:p>
      <w:pPr>
        <w:pStyle w:val="Heading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7024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7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242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2023-11-30T18:00:41Z</dcterms:created>
  <dcterms:modified xsi:type="dcterms:W3CDTF">2023-11-30T18:00:41Z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