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O objetivo principal do projeto é identificar</w:t>
      </w:r>
      <w:r>
        <w:t xml:space="preserve"> </w:t>
      </w:r>
      <w:r>
        <w:rPr>
          <w:bCs/>
          <w:b/>
        </w:rPr>
        <w:t xml:space="preserve">áreas resilientes às mudanças climáticas</w:t>
      </w:r>
      <w:r>
        <w:t xml:space="preserve">, com maior potencial de sustentar a biodiversidade no futuro, por meio do mapeamento da</w:t>
      </w:r>
      <w:r>
        <w:t xml:space="preserve"> </w:t>
      </w:r>
      <w:r>
        <w:rPr>
          <w:bCs/>
          <w:b/>
        </w:rPr>
        <w:t xml:space="preserve">heterogeneidade microclimática</w:t>
      </w:r>
      <w:r>
        <w:t xml:space="preserve"> </w:t>
      </w:r>
      <w:r>
        <w:t xml:space="preserve">e da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entre as áreas.</w:t>
      </w:r>
    </w:p>
    <w:bookmarkStart w:id="20" w:name="objetivos-específicos"/>
    <w:p>
      <w:pPr>
        <w:pStyle w:val="Heading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e de</w:t>
      </w:r>
      <w:r>
        <w:t xml:space="preserve"> </w:t>
      </w:r>
      <w:r>
        <w:rPr>
          <w:bCs/>
          <w:b/>
        </w:rPr>
        <w:t xml:space="preserve">conectividade local</w:t>
      </w:r>
      <w:r>
        <w:rPr>
          <w:bCs/>
          <w:b/>
        </w:rP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Heading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para os biomas do Brasil, que permita identificar áreas com potencial de sustentar a biodiversidade em um clima sob mudanças.</w:t>
      </w:r>
    </w:p>
    <w:p>
      <w:pPr>
        <w:pStyle w:val="BodyText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2023-11-30T18:01:59Z</dcterms:created>
  <dcterms:modified xsi:type="dcterms:W3CDTF">2023-11-30T18:01:59Z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