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2.png" ContentType="image/png"/>
  <Override PartName="/word/media/rId53.png" ContentType="image/png"/>
  <Override PartName="/word/media/rId38.png" ContentType="image/png"/>
  <Override PartName="/word/media/rId22.png" ContentType="image/png"/>
  <Override PartName="/word/media/rId50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5" w:name="quais-as-premissas-básicas-desse-estudo"/>
    <w:p>
      <w:pPr>
        <w:pStyle w:val="Ttulo2"/>
      </w:pPr>
      <w:r>
        <w:t xml:space="preserve">Quais as premissas básicas desse estudo?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600700" cy="318790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figs/modelo_conceitual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87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Modelo conceitual do projeto</w:t>
            </w:r>
          </w:p>
        </w:tc>
      </w:tr>
    </w:tbl>
    <w:p>
      <w:pPr>
        <w:pStyle w:val="Textoindependiente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heterogeneidade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5"/>
    <w:bookmarkStart w:id="26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heterogeneidade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heterogeneidade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6"/>
    <w:bookmarkStart w:id="27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7"/>
    <w:bookmarkStart w:id="28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 Temática do projeto, que participam como colaboradores do desenvolvimento do estudo.</w:t>
      </w:r>
    </w:p>
    <w:bookmarkEnd w:id="28"/>
    <w:bookmarkStart w:id="29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9"/>
    <w:bookmarkStart w:id="30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30"/>
    <w:bookmarkStart w:id="31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31"/>
    <w:bookmarkStart w:id="56" w:name="instituições-parceiras-do-projeto"/>
    <w:p>
      <w:pPr>
        <w:pStyle w:val="Ttulo2"/>
      </w:pPr>
      <w:r>
        <w:t xml:space="preserve">Instituições parceiras do projeto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77666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TNC_logo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76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7024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s/MPEG_logo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7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14466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s/logotipo-ufabc-abaixo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144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92583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ipografia_ufj_preto_modelo_0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w:r>
              <w:drawing>
                <wp:inline>
                  <wp:extent cx="1481328" cy="1488242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ufms_logo_negativo_assinatura_vertical_rgb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8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791029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ufrn_logotipo_flat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791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1481328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figs/sos_pantanal_logo-slider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1481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1481328" cy="511058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figs/associacao_caatinga-nova_logo-400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328" cy="511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6"/>
    <w:bookmarkEnd w:id="5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53" Target="media/rId53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2023-09-22T21:20:45Z</dcterms:created>
  <dcterms:modified xsi:type="dcterms:W3CDTF">2023-09-22T21:20:45Z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