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3" w:name="methods"/>
    <w:p>
      <w:pPr>
        <w:pStyle w:val="Heading2"/>
      </w:pPr>
      <w:r>
        <w:t xml:space="preserve">Methods</w:t>
      </w:r>
    </w:p>
    <w:bookmarkStart w:id="20" w:name="participants"/>
    <w:p>
      <w:pPr>
        <w:pStyle w:val="Heading3"/>
      </w:pPr>
      <w:r>
        <w:t xml:space="preserve">Participants</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participants aged 4.3367556 to 30.9486653 (M=14.4795734, SD=6.7610057). Of whom 264 were female. Some participants contributed data twice at different time points (n=142), three times at different time points (n=54), and four or more times at different time points (n=8). A further 552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(Appendix B), and they were given a small thank-you gift for their participation. The current study was approved by Concordia University Human Research Ethics Board (Certification Number 10000439).</w:t>
      </w:r>
    </w:p>
    <w:bookmarkEnd w:id="22"/>
    <w:bookmarkEnd w:id="23"/>
    <w:bookmarkStart w:id="27"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26" w:name="analytic-approach"/>
    <w:p>
      <w:pPr>
        <w:pStyle w:val="Heading3"/>
      </w:pPr>
      <w:r>
        <w:t xml:space="preserve">Analytic approach</w:t>
      </w:r>
    </w:p>
    <w:p>
      <w:pPr>
        <w:pStyle w:val="FirstParagraph"/>
      </w:pPr>
      <w:r>
        <w:t xml:space="preserve">We described the family strategies (See Figure 1). The most common strategy was the both parents bilingual strategy which represented 33.9407745% of the sample.</w:t>
      </w:r>
    </w:p>
    <w:p>
      <w:pPr>
        <w:pStyle w:val="BodyText"/>
      </w:pPr>
      <w:r>
        <w:t xml:space="preserve">Figure 1</w:t>
      </w:r>
    </w:p>
    <w:p>
      <w:pPr>
        <w:pStyle w:val="SourceCode"/>
      </w:pPr>
      <w:r>
        <w:rPr>
          <w:rStyle w:val="FunctionTok"/>
        </w:rPr>
        <w:t xml:space="preserve">print</w:t>
      </w:r>
      <w:r>
        <w:rPr>
          <w:rStyle w:val="NormalTok"/>
        </w:rPr>
        <w:t xml:space="preserve">(figure_1)</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w:t>
      </w:r>
    </w:p>
    <w:p>
      <w:pPr>
        <w:pStyle w:val="BodyText"/>
      </w:pPr>
      <w:r>
        <w:t xml:space="preserve">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BodyText"/>
      </w:pPr>
      <w:r>
        <w:t xml:space="preserve">##Table 4</w:t>
      </w:r>
    </w:p>
    <w:p>
      <w:pPr>
        <w:pStyle w:val="BodyText"/>
      </w:pPr>
      <w:r>
        <w:t xml:space="preserve">We also filtered the data to include only the families that had provided data for more than one data point (i.e. longitudinal data). As mentioned in the method section we had a few families that had contributed data to three, four or more data points, however these families were so few we decided not to include data beyond the second point. We wxplored the longitudinal data (See Figure) to determine thew stability of family strategy use across time.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2023-01-24T18:35:47Z</dcterms:created>
  <dcterms:modified xsi:type="dcterms:W3CDTF">2023-01-24T18:35:47Z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