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01/05/2023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Families were contacted from a database of interested families in Montréal, Canada, largely via provincial birth lists, social media, and in-person recruitment, for example at libraries and community events. Data were collected through convenience sampling when they visited Concordia Infant Research Laboratory to participate in various studies examining bilingual language acquisition.</w:t>
      </w:r>
    </w:p>
    <w:p>
      <w:pPr>
        <w:pStyle w:val="BodyText"/>
      </w:pPr>
      <w:r>
        <w:t xml:space="preserve">Our dataset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one or more experimental tasks, and parents completed additional questionnaires,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We decided to keep data from the first visit only because that made the data from families with multiple visits and families with a single visit easier to compare.</w:t>
      </w:r>
    </w:p>
    <w:p>
      <w:pPr>
        <w:pStyle w:val="BodyText"/>
      </w:pPr>
      <w:r>
        <w:t xml:space="preserve">Most infants in our data were exposed to two languages. We defined the first language (L1) as the language to which they were most exposed which ranged from 47 to 100 in our sample, as some infants were exposed to a small amount of a third language. We therefore defined the second language (L2) as the language to which they were second most exposed. We excluded 66 children who heard more than 10% of a third language from our original sample. Our sample was composed of infants who heard 36.3636% of French, 56.1983% of English, and 19.8347% of a heritage language as L1; and 53.4435% of which heard French, 34.4353% of English and 19.0083% of a Heritage language as L2. A heritage language was defined as any language other than French or English. There were two reasons behind this decision. First, in Montreal, Canada, both French and English hold a majority language status, making other languages heritage or minority languages. Second, infants who heard a language other than English and French heard one of a wide variety of the following languages: Kabyle, Russian, Romanian, German, Japanese, Arabic, Tamil, Mandarin, Spanish, Italian, Cantonese, Tagalog, Portuguese, Persian, Greek, Creole, Polish, Edo, Armenian, Hindi, Khasi, Berber, Korean, Lithuanian, Wolof, or Yoruba. Since it would have been impractical to divide the sample in so many language groups, and since those groups had few participants, we decided to collapse them into a single heritage language group.</w:t>
      </w:r>
    </w:p>
    <w:p>
      <w:pPr>
        <w:pStyle w:val="BodyText"/>
      </w:pPr>
      <w:r>
        <w:t xml:space="preserve">Because the purpose of the present study is to explore bilingual family language strategies we excluded, to the best of our abilities, families who were not using bilingual strategies (n= 98. We characterized these families as those where both caregivers reported using a single language with the child, and that reported either that the child attended a daycare where they only used the same language, the child had no other form of childcare, or there was missing data regarding other forms of childcare. That being said, we retained data from families that reported using two different languages with the child, but whse child ended up having a reported input of 100% to a single language. We retained those monolingual input/ bilingual strategy families for our descripted analyses, but we removed this data from our statistical analyses as it will be detailed below in the data pre-reocessing section of this manuscript.</w:t>
      </w:r>
    </w:p>
    <w:p>
      <w:pPr>
        <w:pStyle w:val="BodyText"/>
      </w:pPr>
      <w:r>
        <w:t xml:space="preserve">After exclusions, the final dataset consisted of 363 participants aged 4.34 to 30.95 months (M=14.25, SD=6.79). Of whom 171 were female. 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We also excluded a second visit that occurred in less than 15 days from the first visit.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infant. These questions use a likert type of scale to describe the frequency with which parents use each language when talking to their child (regularly, sometimes, or never). We used the responses from the first section of the LEQ questionnaire to characterize the family language strategy used by each family. As a reminder, parents answer the frequency with which they used each language, so the responses</w:t>
      </w:r>
      <w:r>
        <w:t xml:space="preserve"> </w:t>
      </w:r>
      <w:r>
        <w:t xml:space="preserve">“</w:t>
      </w:r>
      <w:r>
        <w:t xml:space="preserve">regularly</w:t>
      </w:r>
      <w:r>
        <w:t xml:space="preserve">”</w:t>
      </w:r>
      <w:r>
        <w:t xml:space="preserve">,</w:t>
      </w:r>
      <w:r>
        <w:t xml:space="preserve"> </w:t>
      </w:r>
      <w:r>
        <w:t xml:space="preserve">“</w:t>
      </w:r>
      <w:r>
        <w:t xml:space="preserve">sometimes</w:t>
      </w:r>
      <w:r>
        <w:t xml:space="preserve">”</w:t>
      </w:r>
      <w:r>
        <w:t xml:space="preserve">,</w:t>
      </w:r>
      <w:r>
        <w:t xml:space="preserve"> </w:t>
      </w:r>
      <w:r>
        <w:t xml:space="preserve">“</w:t>
      </w:r>
      <w:r>
        <w:t xml:space="preserve">never</w:t>
      </w:r>
      <w:r>
        <w:t xml:space="preserve">”</w:t>
      </w:r>
      <w:r>
        <w:t xml:space="preserve"> </w:t>
      </w:r>
      <w:r>
        <w:t xml:space="preserve">were given for each language. For example, for a family where both parents indicated they used both their first and second language regularly we assigned the both parents bilingual strategy. By contrast, for a family where each parent spoke a different first language regularly we assigned the one-parent-one-language strategy. In this manner we identified four distinct strategies: both parents bilingual, one parent bilingual, one-parent-one-language, and one language at home (see Table 1). In these subcategories parents that spoke their first language regularly and never spoke another language would be categorized as strict, and parents who each spoke their first language regularly but one of them sometimes would speak another language were categorized as flexible. As we discuss further below, these two categories were ultimately collapsed into a single one-parent-one-language category. Finally, we identified a few families with a single caregiver and we characterized them as single parent families, as we didn’t have enough cases to identify distinct strategies which single parents might use.</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In preliminary analyses, we noticed that the one-parent-one-language strict and flexible categories both categories behaved similarly as predictors when performing statistical tests and other exploratory analyses. Moreover, splitting the categories split the sample size for the one-parent-one-language group, thus decreasing statistical power. Thus we ultimately decided to combine them into a single group.</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Once characterized, we described the proportions in which family language strategies were used in our sample (See Figure 1). The most common strategy was the both parents bilingual strategy which was used by 41.3% of the sample, and the least common strategy was the one language at home strategy (33.9%). One-parent-bilingual (33.9%), and one-language-at-home (33.9%) were intermediate. Note that we had 11 single parent families who were not classified in the avobe mentioned strategies.</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whether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205.75,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whether each of those languages was their L1 or L2 language.</w:t>
      </w:r>
    </w:p>
    <w:p>
      <w:pPr>
        <w:pStyle w:val="BodyText"/>
      </w:pPr>
      <w:r>
        <w:t xml:space="preserve">In terms of French exposure, we found a statistically significant difference in how much variance the family language strategies contribute (F=4.8596, NA, p= 0.0026, NA). We then conducted a Tukey HSD post-hoc analysis to determine which observed difference between means accounted for more variance(See Table 2). The post-hoc analyses showed that the one parent bilingual strategy was significantly different than the both parents bilingual, one-parent-one-language, and the one language at home strategies. The one parent bilingual strategy was associated with the lowest mean French exposure out all the strategies (see Figure 2a).</w:t>
      </w:r>
    </w:p>
    <w:p>
      <w:pPr>
        <w:pStyle w:val="BodyText"/>
      </w:pPr>
      <w:r>
        <w:t xml:space="preserve">In terms of English exposure, we found a statistically significant difference in how much variance the family language strategies contribute (F=7.5479, NA, p= 0.0001, NA). We then conducted a Tukey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of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 difference that approached statistical difference in how much variance the family language strategies contribute (F=2.771, NA, p= 0.0494, NA). The fact that the the difference between strategies only approaches significance might be due to a lack of power, since the sample of families who used a heritage language was relatively small. We thus decided to also conduct a Tukey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 Tukey HSD Test on the Effect of Strategies on French Exposure</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-14.336</w:t>
            </w:r>
          </w:p>
        </w:tc>
        <w:tc>
          <w:p>
            <w:pPr>
              <w:pStyle w:val="Compact"/>
              <w:jc w:val="right"/>
            </w:pPr>
            <w:r>
              <w:t xml:space="preserve">-32.3026</w:t>
            </w:r>
          </w:p>
        </w:tc>
        <w:tc>
          <w:p>
            <w:pPr>
              <w:pStyle w:val="Compact"/>
              <w:jc w:val="right"/>
            </w:pPr>
            <w:r>
              <w:t xml:space="preserve">3.6314</w:t>
            </w:r>
          </w:p>
        </w:tc>
        <w:tc>
          <w:p>
            <w:pPr>
              <w:pStyle w:val="Compact"/>
              <w:jc w:val="right"/>
            </w:pPr>
            <w:r>
              <w:t xml:space="preserve">0.1682</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-9.572</w:t>
            </w:r>
          </w:p>
        </w:tc>
        <w:tc>
          <w:p>
            <w:pPr>
              <w:pStyle w:val="Compact"/>
              <w:jc w:val="right"/>
            </w:pPr>
            <w:r>
              <w:t xml:space="preserve">-19.6630</w:t>
            </w:r>
          </w:p>
        </w:tc>
        <w:tc>
          <w:p>
            <w:pPr>
              <w:pStyle w:val="Compact"/>
              <w:jc w:val="right"/>
            </w:pPr>
            <w:r>
              <w:t xml:space="preserve">0.5194</w:t>
            </w:r>
          </w:p>
        </w:tc>
        <w:tc>
          <w:p>
            <w:pPr>
              <w:pStyle w:val="Compact"/>
              <w:jc w:val="right"/>
            </w:pPr>
            <w:r>
              <w:t xml:space="preserve">0.0701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6.322</w:t>
            </w:r>
          </w:p>
        </w:tc>
        <w:tc>
          <w:p>
            <w:pPr>
              <w:pStyle w:val="Compact"/>
              <w:jc w:val="right"/>
            </w:pPr>
            <w:r>
              <w:t xml:space="preserve">-5.8241</w:t>
            </w:r>
          </w:p>
        </w:tc>
        <w:tc>
          <w:p>
            <w:pPr>
              <w:pStyle w:val="Compact"/>
              <w:jc w:val="right"/>
            </w:pPr>
            <w:r>
              <w:t xml:space="preserve">18.4677</w:t>
            </w:r>
          </w:p>
        </w:tc>
        <w:tc>
          <w:p>
            <w:pPr>
              <w:pStyle w:val="Compact"/>
              <w:jc w:val="right"/>
            </w:pPr>
            <w:r>
              <w:t xml:space="preserve">0.5350</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4.764</w:t>
            </w:r>
          </w:p>
        </w:tc>
        <w:tc>
          <w:p>
            <w:pPr>
              <w:pStyle w:val="Compact"/>
              <w:jc w:val="right"/>
            </w:pPr>
            <w:r>
              <w:t xml:space="preserve">-13.7961</w:t>
            </w:r>
          </w:p>
        </w:tc>
        <w:tc>
          <w:p>
            <w:pPr>
              <w:pStyle w:val="Compact"/>
              <w:jc w:val="right"/>
            </w:pPr>
            <w:r>
              <w:t xml:space="preserve">23.3237</w:t>
            </w:r>
          </w:p>
        </w:tc>
        <w:tc>
          <w:p>
            <w:pPr>
              <w:pStyle w:val="Compact"/>
              <w:jc w:val="right"/>
            </w:pPr>
            <w:r>
              <w:t xml:space="preserve">0.9108</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20.657</w:t>
            </w:r>
          </w:p>
        </w:tc>
        <w:tc>
          <w:p>
            <w:pPr>
              <w:pStyle w:val="Compact"/>
              <w:jc w:val="right"/>
            </w:pPr>
            <w:r>
              <w:t xml:space="preserve">0.9049</w:t>
            </w:r>
          </w:p>
        </w:tc>
        <w:tc>
          <w:p>
            <w:pPr>
              <w:pStyle w:val="Compact"/>
              <w:jc w:val="right"/>
            </w:pPr>
            <w:r>
              <w:t xml:space="preserve">40.4098</w:t>
            </w:r>
          </w:p>
        </w:tc>
        <w:tc>
          <w:p>
            <w:pPr>
              <w:pStyle w:val="Compact"/>
              <w:jc w:val="right"/>
            </w:pPr>
            <w:r>
              <w:t xml:space="preserve">0.0365</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15.894</w:t>
            </w:r>
          </w:p>
        </w:tc>
        <w:tc>
          <w:p>
            <w:pPr>
              <w:pStyle w:val="Compact"/>
              <w:jc w:val="right"/>
            </w:pPr>
            <w:r>
              <w:t xml:space="preserve">2.8866</w:t>
            </w:r>
          </w:p>
        </w:tc>
        <w:tc>
          <w:p>
            <w:pPr>
              <w:pStyle w:val="Compact"/>
              <w:jc w:val="right"/>
            </w:pPr>
            <w:r>
              <w:t xml:space="preserve">28.9005</w:t>
            </w:r>
          </w:p>
        </w:tc>
        <w:tc>
          <w:p>
            <w:pPr>
              <w:pStyle w:val="Compact"/>
              <w:jc w:val="right"/>
            </w:pPr>
            <w:r>
              <w:t xml:space="preserve">0.0095</w:t>
            </w:r>
          </w:p>
        </w:tc>
      </w:tr>
    </w:tbl>
    <w:p>
      <w:pPr>
        <w:pStyle w:val="BodyText"/>
      </w:pPr>
      <w:r>
        <w:t xml:space="preserve">Table 3. Tukey HSD Test on the Effect of Strategies on English Exposure</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18.985</w:t>
            </w:r>
          </w:p>
        </w:tc>
        <w:tc>
          <w:p>
            <w:pPr>
              <w:pStyle w:val="Compact"/>
              <w:jc w:val="right"/>
            </w:pPr>
            <w:r>
              <w:t xml:space="preserve">-0.0961</w:t>
            </w:r>
          </w:p>
        </w:tc>
        <w:tc>
          <w:p>
            <w:pPr>
              <w:pStyle w:val="Compact"/>
              <w:jc w:val="right"/>
            </w:pPr>
            <w:r>
              <w:t xml:space="preserve">38.066</w:t>
            </w:r>
          </w:p>
        </w:tc>
        <w:tc>
          <w:p>
            <w:pPr>
              <w:pStyle w:val="Compact"/>
              <w:jc w:val="right"/>
            </w:pPr>
            <w:r>
              <w:t xml:space="preserve">0.0517</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13.324</w:t>
            </w:r>
          </w:p>
        </w:tc>
        <w:tc>
          <w:p>
            <w:pPr>
              <w:pStyle w:val="Compact"/>
              <w:jc w:val="right"/>
            </w:pPr>
            <w:r>
              <w:t xml:space="preserve">3.6481</w:t>
            </w:r>
          </w:p>
        </w:tc>
        <w:tc>
          <w:p>
            <w:pPr>
              <w:pStyle w:val="Compact"/>
              <w:jc w:val="right"/>
            </w:pPr>
            <w:r>
              <w:t xml:space="preserve">22.999</w:t>
            </w:r>
          </w:p>
        </w:tc>
        <w:tc>
          <w:p>
            <w:pPr>
              <w:pStyle w:val="Compact"/>
              <w:jc w:val="right"/>
            </w:pPr>
            <w:r>
              <w:t xml:space="preserve">0.0025</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-5.141</w:t>
            </w:r>
          </w:p>
        </w:tc>
        <w:tc>
          <w:p>
            <w:pPr>
              <w:pStyle w:val="Compact"/>
              <w:jc w:val="right"/>
            </w:pPr>
            <w:r>
              <w:t xml:space="preserve">-17.5698</w:t>
            </w:r>
          </w:p>
        </w:tc>
        <w:tc>
          <w:p>
            <w:pPr>
              <w:pStyle w:val="Compact"/>
              <w:jc w:val="right"/>
            </w:pPr>
            <w:r>
              <w:t xml:space="preserve">7.288</w:t>
            </w:r>
          </w:p>
        </w:tc>
        <w:tc>
          <w:p>
            <w:pPr>
              <w:pStyle w:val="Compact"/>
              <w:jc w:val="right"/>
            </w:pPr>
            <w:r>
              <w:t xml:space="preserve">0.7088</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-5.661</w:t>
            </w:r>
          </w:p>
        </w:tc>
        <w:tc>
          <w:p>
            <w:pPr>
              <w:pStyle w:val="Compact"/>
              <w:jc w:val="right"/>
            </w:pPr>
            <w:r>
              <w:t xml:space="preserve">-25.1557</w:t>
            </w:r>
          </w:p>
        </w:tc>
        <w:tc>
          <w:p>
            <w:pPr>
              <w:pStyle w:val="Compact"/>
              <w:jc w:val="right"/>
            </w:pPr>
            <w:r>
              <w:t xml:space="preserve">13.833</w:t>
            </w:r>
          </w:p>
        </w:tc>
        <w:tc>
          <w:p>
            <w:pPr>
              <w:pStyle w:val="Compact"/>
              <w:jc w:val="right"/>
            </w:pPr>
            <w:r>
              <w:t xml:space="preserve">0.8764</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-24.126</w:t>
            </w:r>
          </w:p>
        </w:tc>
        <w:tc>
          <w:p>
            <w:pPr>
              <w:pStyle w:val="Compact"/>
              <w:jc w:val="right"/>
            </w:pPr>
            <w:r>
              <w:t xml:space="preserve">-45.1232</w:t>
            </w:r>
          </w:p>
        </w:tc>
        <w:tc>
          <w:p>
            <w:pPr>
              <w:pStyle w:val="Compact"/>
              <w:jc w:val="right"/>
            </w:pPr>
            <w:r>
              <w:t xml:space="preserve">-3.128</w:t>
            </w:r>
          </w:p>
        </w:tc>
        <w:tc>
          <w:p>
            <w:pPr>
              <w:pStyle w:val="Compact"/>
              <w:jc w:val="right"/>
            </w:pPr>
            <w:r>
              <w:t xml:space="preserve">0.0170</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-18.464</w:t>
            </w:r>
          </w:p>
        </w:tc>
        <w:tc>
          <w:p>
            <w:pPr>
              <w:pStyle w:val="Compact"/>
              <w:jc w:val="right"/>
            </w:pPr>
            <w:r>
              <w:t xml:space="preserve">-31.5190</w:t>
            </w:r>
          </w:p>
        </w:tc>
        <w:tc>
          <w:p>
            <w:pPr>
              <w:pStyle w:val="Compact"/>
              <w:jc w:val="right"/>
            </w:pPr>
            <w:r>
              <w:t xml:space="preserve">-5.410</w:t>
            </w:r>
          </w:p>
        </w:tc>
        <w:tc>
          <w:p>
            <w:pPr>
              <w:pStyle w:val="Compact"/>
              <w:jc w:val="right"/>
            </w:pPr>
            <w:r>
              <w:t xml:space="preserve">0.0017</w:t>
            </w:r>
          </w:p>
        </w:tc>
      </w:tr>
    </w:tbl>
    <w:p>
      <w:pPr>
        <w:pStyle w:val="BodyText"/>
      </w:pPr>
      <w:r>
        <w:t xml:space="preserve">Table 4. Tukey HSD Test on the Effect of Strategies on Heritage Langauge Exposure</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-0.2622</w:t>
            </w:r>
          </w:p>
        </w:tc>
        <w:tc>
          <w:p>
            <w:pPr>
              <w:pStyle w:val="Compact"/>
              <w:jc w:val="right"/>
            </w:pPr>
            <w:r>
              <w:t xml:space="preserve">-43.835</w:t>
            </w:r>
          </w:p>
        </w:tc>
        <w:tc>
          <w:p>
            <w:pPr>
              <w:pStyle w:val="Compact"/>
              <w:jc w:val="right"/>
            </w:pPr>
            <w:r>
              <w:t xml:space="preserve">43.3106</w:t>
            </w:r>
          </w:p>
        </w:tc>
        <w:tc>
          <w:p>
            <w:pPr>
              <w:pStyle w:val="Compact"/>
              <w:jc w:val="right"/>
            </w:pPr>
            <w:r>
              <w:t xml:space="preserve">1.0000</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-20.5973</w:t>
            </w:r>
          </w:p>
        </w:tc>
        <w:tc>
          <w:p>
            <w:pPr>
              <w:pStyle w:val="Compact"/>
              <w:jc w:val="right"/>
            </w:pPr>
            <w:r>
              <w:t xml:space="preserve">-41.563</w:t>
            </w:r>
          </w:p>
        </w:tc>
        <w:tc>
          <w:p>
            <w:pPr>
              <w:pStyle w:val="Compact"/>
              <w:jc w:val="right"/>
            </w:pPr>
            <w:r>
              <w:t xml:space="preserve">0.3687</w:t>
            </w:r>
          </w:p>
        </w:tc>
        <w:tc>
          <w:p>
            <w:pPr>
              <w:pStyle w:val="Compact"/>
              <w:jc w:val="right"/>
            </w:pPr>
            <w:r>
              <w:t xml:space="preserve">0.0559</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-3.9786</w:t>
            </w:r>
          </w:p>
        </w:tc>
        <w:tc>
          <w:p>
            <w:pPr>
              <w:pStyle w:val="Compact"/>
              <w:jc w:val="right"/>
            </w:pPr>
            <w:r>
              <w:t xml:space="preserve">-29.410</w:t>
            </w:r>
          </w:p>
        </w:tc>
        <w:tc>
          <w:p>
            <w:pPr>
              <w:pStyle w:val="Compact"/>
              <w:jc w:val="right"/>
            </w:pPr>
            <w:r>
              <w:t xml:space="preserve">21.4531</w:t>
            </w:r>
          </w:p>
        </w:tc>
        <w:tc>
          <w:p>
            <w:pPr>
              <w:pStyle w:val="Compact"/>
              <w:jc w:val="right"/>
            </w:pPr>
            <w:r>
              <w:t xml:space="preserve">0.9759</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-20.3351</w:t>
            </w:r>
          </w:p>
        </w:tc>
        <w:tc>
          <w:p>
            <w:pPr>
              <w:pStyle w:val="Compact"/>
              <w:jc w:val="right"/>
            </w:pPr>
            <w:r>
              <w:t xml:space="preserve">-62.711</w:t>
            </w:r>
          </w:p>
        </w:tc>
        <w:tc>
          <w:p>
            <w:pPr>
              <w:pStyle w:val="Compact"/>
              <w:jc w:val="right"/>
            </w:pPr>
            <w:r>
              <w:t xml:space="preserve">22.0407</w:t>
            </w:r>
          </w:p>
        </w:tc>
        <w:tc>
          <w:p>
            <w:pPr>
              <w:pStyle w:val="Compact"/>
              <w:jc w:val="right"/>
            </w:pPr>
            <w:r>
              <w:t xml:space="preserve">0.5862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-3.7164</w:t>
            </w:r>
          </w:p>
        </w:tc>
        <w:tc>
          <w:p>
            <w:pPr>
              <w:pStyle w:val="Compact"/>
              <w:jc w:val="right"/>
            </w:pPr>
            <w:r>
              <w:t xml:space="preserve">-48.470</w:t>
            </w:r>
          </w:p>
        </w:tc>
        <w:tc>
          <w:p>
            <w:pPr>
              <w:pStyle w:val="Compact"/>
              <w:jc w:val="right"/>
            </w:pPr>
            <w:r>
              <w:t xml:space="preserve">41.0374</w:t>
            </w:r>
          </w:p>
        </w:tc>
        <w:tc>
          <w:p>
            <w:pPr>
              <w:pStyle w:val="Compact"/>
              <w:jc w:val="right"/>
            </w:pPr>
            <w:r>
              <w:t xml:space="preserve">0.9962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16.6186</w:t>
            </w:r>
          </w:p>
        </w:tc>
        <w:tc>
          <w:p>
            <w:pPr>
              <w:pStyle w:val="Compact"/>
              <w:jc w:val="right"/>
            </w:pPr>
            <w:r>
              <w:t xml:space="preserve">-6.703</w:t>
            </w:r>
          </w:p>
        </w:tc>
        <w:tc>
          <w:p>
            <w:pPr>
              <w:pStyle w:val="Compact"/>
              <w:jc w:val="right"/>
            </w:pPr>
            <w:r>
              <w:t xml:space="preserve">39.9401</w:t>
            </w:r>
          </w:p>
        </w:tc>
        <w:tc>
          <w:p>
            <w:pPr>
              <w:pStyle w:val="Compact"/>
              <w:jc w:val="right"/>
            </w:pPr>
            <w:r>
              <w:t xml:space="preserve">0.2460</w:t>
            </w:r>
          </w:p>
        </w:tc>
      </w:tr>
    </w:tbl>
    <w:p>
      <w:pPr>
        <w:pStyle w:val="BodyText"/>
      </w:pPr>
      <w:r>
        <w:t xml:space="preserve">Finally, we wanted to explore whether families switched in their use of family language strategies across time. To explore this, we used a subset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Specifically, 76.3158% kept the same strategy, and 23.6842% changed strategies (See Table 5 for the breakdown of strategy use by visit).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 Percentage of Family Strategy Use in Each Visit</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2023-05-01T19:49:12Z</dcterms:created>
  <dcterms:modified xsi:type="dcterms:W3CDTF">2023-05-01T19:49:12Z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01/05/2023</vt:lpwstr>
  </property>
  <property fmtid="{D5CDD505-2E9C-101B-9397-08002B2CF9AE}" pid="3" name="output">
    <vt:lpwstr>word_document</vt:lpwstr>
  </property>
</Properties>
</file>