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 study. Families were contacted from a database of interested families in Montréal, Canada, largely via provincial birth lists, social media, and in-person recruitment, for example at libraries and community events.</w:t>
      </w:r>
      <w:r>
        <w:t xml:space="preserve"> </w:t>
      </w: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 We further excluded 66 children who heard more than 10% of a third language.</w:t>
      </w:r>
    </w:p>
    <w:p>
      <w:pPr>
        <w:pStyle w:val="BodyText"/>
      </w:pPr>
      <w:r>
        <w:t xml:space="preserve">While for the main analyses we excluded the second visit data of families’ who came to multiple visits, we constructed a secondary data set (n= 204) which included first and second visit data from families who contributed data during multiple visits. We used this secondary data set to explore and describe our longitudinal data. We however excluded the third and fourth visit data from both the main and the exploratory analyses because there were very few data points ().</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These first set of questions helped us determine the family language strategies, for example if a caregiver uses French regularly and never uses English while the other caregiver does the opposite, we assume they are using a one-parent-one-language strategy.</w:t>
      </w:r>
    </w:p>
    <w:p>
      <w:pPr>
        <w:pStyle w:val="BodyText"/>
      </w:pPr>
      <w:r>
        <w:t xml:space="preserve">The first set of questions for the LEQ with MAPLE interview aim to give a set of estimates of the amount of time babies spend hearing each of their languages throughout their lives based on a calculation made by the interviewer from caregiver responses (overall estimate), a rough estimate based on an estimation by the caregivers themselves (xxx estimate), and an overall estimate that averages the interviewer and the caregiver estimations (global estimate). The exposure estimates made with LEQ with MAPLE have high reliability (r = .77–.97) when compared to transcriptions of daylong home recordings, which are a direct measure of the infants’ linguistic environment (Orena et al., 2018).</w:t>
      </w:r>
      <w:r>
        <w:t xml:space="preserve"> </w:t>
      </w: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p>
      <w:pPr>
        <w:pStyle w:val="BodyText"/>
      </w:pPr>
      <w:r>
        <w:t xml:space="preserve">strategy</w:t>
      </w:r>
    </w:p>
    <w:p>
      <w:pPr>
        <w:pStyle w:val="BodyText"/>
      </w:pPr>
      <w:r>
        <w:t xml:space="preserve">caregiver_A_L1</w:t>
      </w:r>
    </w:p>
    <w:p>
      <w:pPr>
        <w:pStyle w:val="BodyText"/>
      </w:pPr>
      <w:r>
        <w:t xml:space="preserve">caregiver_A_L2</w:t>
      </w:r>
    </w:p>
    <w:p>
      <w:pPr>
        <w:pStyle w:val="BodyText"/>
      </w:pPr>
      <w:r>
        <w:t xml:space="preserve">caregiver_B_L1</w:t>
      </w:r>
    </w:p>
    <w:p>
      <w:pPr>
        <w:pStyle w:val="BodyText"/>
      </w:pPr>
      <w:r>
        <w:t xml:space="preserve">caregiver_B_L2</w:t>
      </w:r>
    </w:p>
    <w:p>
      <w:pPr>
        <w:pStyle w:val="BodyText"/>
      </w:pPr>
      <w:r>
        <w:t xml:space="preserve">both-parents-bilingual</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one-language-at-home</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one-parent-bilingual</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sometimes</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one-parent-one-lang</w:t>
      </w:r>
    </w:p>
    <w:p>
      <w:pPr>
        <w:pStyle w:val="BodyText"/>
      </w:pPr>
      <w:r>
        <w:t xml:space="preserve">regularly</w:t>
      </w:r>
    </w:p>
    <w:p>
      <w:pPr>
        <w:pStyle w:val="BodyText"/>
      </w:pPr>
      <w:r>
        <w:t xml:space="preserve">sometimes</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sometimes</w:t>
      </w:r>
    </w:p>
    <w:p>
      <w:pPr>
        <w:pStyle w:val="BodyText"/>
      </w:pPr>
      <w:r>
        <w:t xml:space="preserve">sometimes</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single-parent</w:t>
      </w:r>
    </w:p>
    <w:p>
      <w:pPr>
        <w:pStyle w:val="BodyText"/>
      </w:pPr>
      <w:r>
        <w:t xml:space="preserve">NA</w:t>
      </w:r>
      <w:r>
        <w:t xml:space="preserve"> </w:t>
      </w:r>
    </w:p>
    <w:p>
      <w:pPr>
        <w:pStyle w:val="BodyText"/>
      </w:pPr>
      <w:r>
        <w:t xml:space="preserve">NA</w:t>
      </w:r>
      <w:r>
        <w:t xml:space="preserve"> </w:t>
      </w:r>
    </w:p>
    <w:p>
      <w:pPr>
        <w:pStyle w:val="BodyText"/>
      </w:pPr>
      <w:r>
        <w:t xml:space="preserve">regularly</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never</w:t>
      </w:r>
      <w:r>
        <w:t xml:space="preserve"> </w:t>
      </w:r>
    </w:p>
    <w:p>
      <w:pPr>
        <w:pStyle w:val="BodyText"/>
      </w:pPr>
      <w:r>
        <w:t xml:space="preserve">NA</w:t>
      </w:r>
      <w:r>
        <w:t xml:space="preserve"> </w:t>
      </w:r>
    </w:p>
    <w:p>
      <w:pPr>
        <w:pStyle w:val="BodyText"/>
      </w:pPr>
      <w:r>
        <w:t xml:space="preserve">NA</w:t>
      </w:r>
      <w:r>
        <w:t xml:space="preserve"> </w:t>
      </w:r>
    </w:p>
    <w:p>
      <w:pPr>
        <w:pStyle w:val="BodyText"/>
      </w:pPr>
      <w:r>
        <w:t xml:space="preserve">regularly</w:t>
      </w:r>
    </w:p>
    <w:p>
      <w:pPr>
        <w:pStyle w:val="BodyText"/>
      </w:pPr>
      <w:r>
        <w:t xml:space="preserve">regularly</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sometimes</w:t>
      </w:r>
    </w:p>
    <w:p>
      <w:pPr>
        <w:pStyle w:val="BodyText"/>
      </w:pPr>
      <w:r>
        <w:t xml:space="preserve">never</w:t>
      </w:r>
      <w:r>
        <w:t xml:space="preserve"> </w:t>
      </w:r>
    </w:p>
    <w:p>
      <w:pPr>
        <w:pStyle w:val="BodyText"/>
      </w:pPr>
      <w:r>
        <w:t xml:space="preserve">never</w:t>
      </w:r>
      <w:r>
        <w:t xml:space="preserve"> </w:t>
      </w:r>
    </w:p>
    <w:p>
      <w:pPr>
        <w:pStyle w:val="BodyText"/>
      </w:pPr>
      <w:r>
        <w:t xml:space="preserve">sometimes</w:t>
      </w:r>
    </w:p>
    <w:p>
      <w:pPr>
        <w:pStyle w:val="BodyText"/>
      </w:pPr>
      <w:r>
        <w:t xml:space="preserve">sometimes</w:t>
      </w:r>
    </w:p>
    <w:p>
      <w:pPr>
        <w:pStyle w:val="BodyText"/>
      </w:pPr>
      <w:r>
        <w:t xml:space="preserve">never</w:t>
      </w:r>
      <w:r>
        <w:t xml:space="preserve"> </w:t>
      </w:r>
    </w:p>
    <w:p>
      <w:pPr>
        <w:pStyle w:val="BodyText"/>
      </w:pPr>
      <w:r>
        <w:t xml:space="preserve">never</w:t>
      </w:r>
      <w:r>
        <w:t xml:space="preserve"> </w:t>
      </w:r>
    </w:p>
    <w:p>
      <w:pPr>
        <w:pStyle w:val="BodyText"/>
      </w:pPr>
      <w:r>
        <w:t xml:space="preserve">regularly</w:t>
      </w:r>
    </w:p>
    <w:p>
      <w:pPr>
        <w:pStyle w:val="BodyText"/>
      </w:pPr>
      <w:r>
        <w:t xml:space="preserve">regularly</w:t>
      </w:r>
    </w:p>
    <w:p>
      <w:pPr>
        <w:pStyle w:val="BodyText"/>
      </w:pPr>
      <w:r>
        <w:t xml:space="preserve">NA</w:t>
      </w:r>
      <w:r>
        <w:t xml:space="preserve"> </w:t>
      </w:r>
    </w:p>
    <w:p>
      <w:pPr>
        <w:pStyle w:val="BodyText"/>
      </w:pPr>
      <w:r>
        <w:t xml:space="preserve">NA</w:t>
      </w:r>
      <w:r>
        <w:t xml:space="preserve"> </w:t>
      </w:r>
    </w:p>
    <w:bookmarkEnd w:id="23"/>
    <w:bookmarkStart w:id="29"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 of the sample.</w:t>
      </w:r>
    </w:p>
    <w:p>
      <w:pPr>
        <w:pStyle w:val="BodyText"/>
      </w:pPr>
      <w:r>
        <w:t xml:space="preserve">Figure 1</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 (X= 138.92, p= &lt;.001).</w:t>
      </w:r>
      <w:r>
        <w:t xml:space="preserve"> </w:t>
      </w: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SourceCode"/>
      </w:pPr>
      <w:r>
        <w:rPr>
          <w:rStyle w:val="FunctionTok"/>
        </w:rPr>
        <w:t xml:space="preserve">formattable</w:t>
      </w:r>
      <w:r>
        <w:rPr>
          <w:rStyle w:val="NormalTok"/>
        </w:rPr>
        <w:t xml:space="preserve">(aov_eng)</w:t>
      </w:r>
    </w:p>
    <w:p>
      <w:pPr>
        <w:pStyle w:val="FirstParagraph"/>
      </w:pPr>
      <w:r>
        <w:t xml:space="preserve">term</w:t>
      </w:r>
    </w:p>
    <w:p>
      <w:pPr>
        <w:pStyle w:val="BodyText"/>
      </w:pPr>
      <w:r>
        <w:t xml:space="preserve">df</w:t>
      </w:r>
    </w:p>
    <w:p>
      <w:pPr>
        <w:pStyle w:val="BodyText"/>
      </w:pPr>
      <w:r>
        <w:t xml:space="preserve">sumsq</w:t>
      </w:r>
    </w:p>
    <w:p>
      <w:pPr>
        <w:pStyle w:val="BodyText"/>
      </w:pPr>
      <w:r>
        <w:t xml:space="preserve">meansq</w:t>
      </w:r>
    </w:p>
    <w:p>
      <w:pPr>
        <w:pStyle w:val="BodyText"/>
      </w:pPr>
      <w:r>
        <w:t xml:space="preserve">statistic</w:t>
      </w:r>
    </w:p>
    <w:p>
      <w:pPr>
        <w:pStyle w:val="BodyText"/>
      </w:pPr>
      <w:r>
        <w:t xml:space="preserve">p.value</w:t>
      </w:r>
    </w:p>
    <w:p>
      <w:pPr>
        <w:pStyle w:val="BodyText"/>
      </w:pPr>
      <w:r>
        <w:t xml:space="preserve">strategy</w:t>
      </w:r>
    </w:p>
    <w:p>
      <w:pPr>
        <w:pStyle w:val="BodyText"/>
      </w:pPr>
      <w:r>
        <w:t xml:space="preserve">3</w:t>
      </w:r>
    </w:p>
    <w:p>
      <w:pPr>
        <w:pStyle w:val="BodyText"/>
      </w:pPr>
      <w:r>
        <w:t xml:space="preserve">22510</w:t>
      </w:r>
    </w:p>
    <w:p>
      <w:pPr>
        <w:pStyle w:val="BodyText"/>
      </w:pPr>
      <w:r>
        <w:t xml:space="preserve">7503</w:t>
      </w:r>
    </w:p>
    <w:p>
      <w:pPr>
        <w:pStyle w:val="BodyText"/>
      </w:pPr>
      <w:r>
        <w:t xml:space="preserve">5.545</w:t>
      </w:r>
    </w:p>
    <w:p>
      <w:pPr>
        <w:pStyle w:val="BodyText"/>
      </w:pPr>
      <w:r>
        <w:t xml:space="preserve">0.000967</w:t>
      </w:r>
    </w:p>
    <w:p>
      <w:pPr>
        <w:pStyle w:val="BodyText"/>
      </w:pPr>
      <w:r>
        <w:t xml:space="preserve">Residuals</w:t>
      </w:r>
    </w:p>
    <w:p>
      <w:pPr>
        <w:pStyle w:val="BodyText"/>
      </w:pPr>
      <w:r>
        <w:t xml:space="preserve">424</w:t>
      </w:r>
    </w:p>
    <w:p>
      <w:pPr>
        <w:pStyle w:val="BodyText"/>
      </w:pPr>
      <w:r>
        <w:t xml:space="preserve">573698</w:t>
      </w:r>
    </w:p>
    <w:p>
      <w:pPr>
        <w:pStyle w:val="BodyText"/>
      </w:pPr>
      <w:r>
        <w:t xml:space="preserve">1353</w:t>
      </w:r>
    </w:p>
    <w:p>
      <w:pPr>
        <w:pStyle w:val="BodyText"/>
      </w:pPr>
      <w:r>
        <w:t xml:space="preserve">NA</w:t>
      </w:r>
    </w:p>
    <w:p>
      <w:pPr>
        <w:pStyle w:val="BodyText"/>
      </w:pPr>
      <w:r>
        <w:t xml:space="preserve">NA</w:t>
      </w:r>
    </w:p>
    <w:p>
      <w:pPr>
        <w:pStyle w:val="SourceCode"/>
      </w:pPr>
      <w:r>
        <w:rPr>
          <w:rStyle w:val="FunctionTok"/>
        </w:rPr>
        <w:t xml:space="preserve">formattable</w:t>
      </w:r>
      <w:r>
        <w:rPr>
          <w:rStyle w:val="NormalTok"/>
        </w:rPr>
        <w:t xml:space="preserve">(tukey_eng)</w:t>
      </w:r>
    </w:p>
    <w:p>
      <w:pPr>
        <w:pStyle w:val="FirstParagraph"/>
      </w:pPr>
      <w:r>
        <w:t xml:space="preserve">term</w:t>
      </w:r>
    </w:p>
    <w:p>
      <w:pPr>
        <w:pStyle w:val="BodyText"/>
      </w:pPr>
      <w:r>
        <w:t xml:space="preserve">group1</w:t>
      </w:r>
    </w:p>
    <w:p>
      <w:pPr>
        <w:pStyle w:val="BodyText"/>
      </w:pPr>
      <w:r>
        <w:t xml:space="preserve">group2</w:t>
      </w:r>
    </w:p>
    <w:p>
      <w:pPr>
        <w:pStyle w:val="BodyText"/>
      </w:pPr>
      <w:r>
        <w:t xml:space="preserve">null.value</w:t>
      </w:r>
    </w:p>
    <w:p>
      <w:pPr>
        <w:pStyle w:val="BodyText"/>
      </w:pPr>
      <w:r>
        <w:t xml:space="preserve">estimate</w:t>
      </w:r>
    </w:p>
    <w:p>
      <w:pPr>
        <w:pStyle w:val="BodyText"/>
      </w:pPr>
      <w:r>
        <w:t xml:space="preserve">conf.low</w:t>
      </w:r>
    </w:p>
    <w:p>
      <w:pPr>
        <w:pStyle w:val="BodyText"/>
      </w:pPr>
      <w:r>
        <w:t xml:space="preserve">conf.high</w:t>
      </w:r>
    </w:p>
    <w:p>
      <w:pPr>
        <w:pStyle w:val="BodyText"/>
      </w:pPr>
      <w:r>
        <w:t xml:space="preserve">p.adj</w:t>
      </w:r>
    </w:p>
    <w:p>
      <w:pPr>
        <w:pStyle w:val="BodyText"/>
      </w:pPr>
      <w:r>
        <w:t xml:space="preserve">p.adj.signif</w:t>
      </w:r>
    </w:p>
    <w:p>
      <w:pPr>
        <w:pStyle w:val="BodyText"/>
      </w:pPr>
      <w:r>
        <w:t xml:space="preserve">strategy</w:t>
      </w:r>
    </w:p>
    <w:p>
      <w:pPr>
        <w:pStyle w:val="BodyText"/>
      </w:pPr>
      <w:r>
        <w:t xml:space="preserve">language</w:t>
      </w:r>
    </w:p>
    <w:p>
      <w:pPr>
        <w:pStyle w:val="BodyText"/>
      </w:pPr>
      <w:r>
        <w:t xml:space="preserve">one</w:t>
      </w:r>
    </w:p>
    <w:p>
      <w:pPr>
        <w:pStyle w:val="BodyText"/>
      </w:pPr>
      <w:r>
        <w:t xml:space="preserve">0</w:t>
      </w:r>
    </w:p>
    <w:p>
      <w:pPr>
        <w:pStyle w:val="BodyText"/>
      </w:pPr>
      <w:r>
        <w:t xml:space="preserve">-5.514</w:t>
      </w:r>
    </w:p>
    <w:p>
      <w:pPr>
        <w:pStyle w:val="BodyText"/>
      </w:pPr>
      <w:r>
        <w:t xml:space="preserve">-17.5358</w:t>
      </w:r>
    </w:p>
    <w:p>
      <w:pPr>
        <w:pStyle w:val="BodyText"/>
      </w:pPr>
      <w:r>
        <w:t xml:space="preserve">6.509</w:t>
      </w:r>
    </w:p>
    <w:p>
      <w:pPr>
        <w:pStyle w:val="BodyText"/>
      </w:pPr>
      <w:r>
        <w:t xml:space="preserve">0.63800</w:t>
      </w:r>
    </w:p>
    <w:p>
      <w:pPr>
        <w:pStyle w:val="BodyText"/>
      </w:pPr>
      <w:r>
        <w:t xml:space="preserve">ns</w:t>
      </w:r>
    </w:p>
    <w:p>
      <w:pPr>
        <w:pStyle w:val="BodyText"/>
      </w:pPr>
      <w:r>
        <w:t xml:space="preserve">strategy</w:t>
      </w:r>
    </w:p>
    <w:p>
      <w:pPr>
        <w:pStyle w:val="BodyText"/>
      </w:pPr>
      <w:r>
        <w:t xml:space="preserve">parent</w:t>
      </w:r>
    </w:p>
    <w:p>
      <w:pPr>
        <w:pStyle w:val="BodyText"/>
      </w:pPr>
      <w:r>
        <w:t xml:space="preserve">one</w:t>
      </w:r>
    </w:p>
    <w:p>
      <w:pPr>
        <w:pStyle w:val="BodyText"/>
      </w:pPr>
      <w:r>
        <w:t xml:space="preserve">0</w:t>
      </w:r>
    </w:p>
    <w:p>
      <w:pPr>
        <w:pStyle w:val="BodyText"/>
      </w:pPr>
      <w:r>
        <w:t xml:space="preserve">11.177</w:t>
      </w:r>
    </w:p>
    <w:p>
      <w:pPr>
        <w:pStyle w:val="BodyText"/>
      </w:pPr>
      <w:r>
        <w:t xml:space="preserve">-0.4869</w:t>
      </w:r>
    </w:p>
    <w:p>
      <w:pPr>
        <w:pStyle w:val="BodyText"/>
      </w:pPr>
      <w:r>
        <w:t xml:space="preserve">22.841</w:t>
      </w:r>
    </w:p>
    <w:p>
      <w:pPr>
        <w:pStyle w:val="BodyText"/>
      </w:pPr>
      <w:r>
        <w:t xml:space="preserve">0.06590</w:t>
      </w:r>
    </w:p>
    <w:p>
      <w:pPr>
        <w:pStyle w:val="BodyText"/>
      </w:pPr>
      <w:r>
        <w:t xml:space="preserve">ns</w:t>
      </w:r>
    </w:p>
    <w:p>
      <w:pPr>
        <w:pStyle w:val="BodyText"/>
      </w:pPr>
      <w:r>
        <w:t xml:space="preserve">strategy</w:t>
      </w:r>
    </w:p>
    <w:p>
      <w:pPr>
        <w:pStyle w:val="BodyText"/>
      </w:pPr>
      <w:r>
        <w:t xml:space="preserve">parent</w:t>
      </w:r>
    </w:p>
    <w:p>
      <w:pPr>
        <w:pStyle w:val="BodyText"/>
      </w:pPr>
      <w:r>
        <w:t xml:space="preserve">one</w:t>
      </w:r>
    </w:p>
    <w:p>
      <w:pPr>
        <w:pStyle w:val="BodyText"/>
      </w:pPr>
      <w:r>
        <w:t xml:space="preserve">0</w:t>
      </w:r>
    </w:p>
    <w:p>
      <w:pPr>
        <w:pStyle w:val="BodyText"/>
      </w:pPr>
      <w:r>
        <w:t xml:space="preserve">-9.252</w:t>
      </w:r>
    </w:p>
    <w:p>
      <w:pPr>
        <w:pStyle w:val="BodyText"/>
      </w:pPr>
      <w:r>
        <w:t xml:space="preserve">-24.4254</w:t>
      </w:r>
    </w:p>
    <w:p>
      <w:pPr>
        <w:pStyle w:val="BodyText"/>
      </w:pPr>
      <w:r>
        <w:t xml:space="preserve">5.922</w:t>
      </w:r>
    </w:p>
    <w:p>
      <w:pPr>
        <w:pStyle w:val="BodyText"/>
      </w:pPr>
      <w:r>
        <w:t xml:space="preserve">0.39500</w:t>
      </w:r>
    </w:p>
    <w:p>
      <w:pPr>
        <w:pStyle w:val="BodyText"/>
      </w:pPr>
      <w:r>
        <w:t xml:space="preserve">ns</w:t>
      </w:r>
    </w:p>
    <w:p>
      <w:pPr>
        <w:pStyle w:val="BodyText"/>
      </w:pPr>
      <w:r>
        <w:t xml:space="preserve">strategy</w:t>
      </w:r>
    </w:p>
    <w:p>
      <w:pPr>
        <w:pStyle w:val="BodyText"/>
      </w:pPr>
      <w:r>
        <w:t xml:space="preserve">parent</w:t>
      </w:r>
    </w:p>
    <w:p>
      <w:pPr>
        <w:pStyle w:val="BodyText"/>
      </w:pPr>
      <w:r>
        <w:t xml:space="preserve">one</w:t>
      </w:r>
    </w:p>
    <w:p>
      <w:pPr>
        <w:pStyle w:val="BodyText"/>
      </w:pPr>
      <w:r>
        <w:t xml:space="preserve">0</w:t>
      </w:r>
    </w:p>
    <w:p>
      <w:pPr>
        <w:pStyle w:val="BodyText"/>
      </w:pPr>
      <w:r>
        <w:t xml:space="preserve">16.691</w:t>
      </w:r>
    </w:p>
    <w:p>
      <w:pPr>
        <w:pStyle w:val="BodyText"/>
      </w:pPr>
      <w:r>
        <w:t xml:space="preserve">4.0509</w:t>
      </w:r>
    </w:p>
    <w:p>
      <w:pPr>
        <w:pStyle w:val="BodyText"/>
      </w:pPr>
      <w:r>
        <w:t xml:space="preserve">29.331</w:t>
      </w:r>
    </w:p>
    <w:p>
      <w:pPr>
        <w:pStyle w:val="BodyText"/>
      </w:pPr>
      <w:r>
        <w:t xml:space="preserve">0.00401</w:t>
      </w:r>
    </w:p>
    <w:p>
      <w:pPr>
        <w:pStyle w:val="BodyText"/>
      </w:pPr>
      <w:r>
        <w:t xml:space="preserve">**</w:t>
      </w:r>
    </w:p>
    <w:p>
      <w:pPr>
        <w:pStyle w:val="BodyText"/>
      </w:pPr>
      <w:r>
        <w:t xml:space="preserve">strategy</w:t>
      </w:r>
    </w:p>
    <w:p>
      <w:pPr>
        <w:pStyle w:val="BodyText"/>
      </w:pPr>
      <w:r>
        <w:t xml:space="preserve">parent</w:t>
      </w:r>
    </w:p>
    <w:p>
      <w:pPr>
        <w:pStyle w:val="BodyText"/>
      </w:pPr>
      <w:r>
        <w:t xml:space="preserve">one</w:t>
      </w:r>
    </w:p>
    <w:p>
      <w:pPr>
        <w:pStyle w:val="BodyText"/>
      </w:pPr>
      <w:r>
        <w:t xml:space="preserve">0</w:t>
      </w:r>
    </w:p>
    <w:p>
      <w:pPr>
        <w:pStyle w:val="BodyText"/>
      </w:pPr>
      <w:r>
        <w:t xml:space="preserve">-3.738</w:t>
      </w:r>
    </w:p>
    <w:p>
      <w:pPr>
        <w:pStyle w:val="BodyText"/>
      </w:pPr>
      <w:r>
        <w:t xml:space="preserve">-19.6742</w:t>
      </w:r>
    </w:p>
    <w:p>
      <w:pPr>
        <w:pStyle w:val="BodyText"/>
      </w:pPr>
      <w:r>
        <w:t xml:space="preserve">12.198</w:t>
      </w:r>
    </w:p>
    <w:p>
      <w:pPr>
        <w:pStyle w:val="BodyText"/>
      </w:pPr>
      <w:r>
        <w:t xml:space="preserve">0.93000</w:t>
      </w:r>
    </w:p>
    <w:p>
      <w:pPr>
        <w:pStyle w:val="BodyText"/>
      </w:pPr>
      <w:r>
        <w:t xml:space="preserve">ns</w:t>
      </w:r>
    </w:p>
    <w:p>
      <w:pPr>
        <w:pStyle w:val="BodyText"/>
      </w:pPr>
      <w:r>
        <w:t xml:space="preserve">strategy</w:t>
      </w:r>
    </w:p>
    <w:p>
      <w:pPr>
        <w:pStyle w:val="BodyText"/>
      </w:pPr>
      <w:r>
        <w:t xml:space="preserve">parent</w:t>
      </w:r>
    </w:p>
    <w:p>
      <w:pPr>
        <w:pStyle w:val="BodyText"/>
      </w:pPr>
      <w:r>
        <w:t xml:space="preserve">one</w:t>
      </w:r>
    </w:p>
    <w:p>
      <w:pPr>
        <w:pStyle w:val="BodyText"/>
      </w:pPr>
      <w:r>
        <w:t xml:space="preserve">0</w:t>
      </w:r>
    </w:p>
    <w:p>
      <w:pPr>
        <w:pStyle w:val="BodyText"/>
      </w:pPr>
      <w:r>
        <w:t xml:space="preserve">-20.429</w:t>
      </w:r>
    </w:p>
    <w:p>
      <w:pPr>
        <w:pStyle w:val="BodyText"/>
      </w:pPr>
      <w:r>
        <w:t xml:space="preserve">-36.0964</w:t>
      </w:r>
    </w:p>
    <w:p>
      <w:pPr>
        <w:pStyle w:val="BodyText"/>
      </w:pPr>
      <w:r>
        <w:t xml:space="preserve">-4.761</w:t>
      </w:r>
    </w:p>
    <w:p>
      <w:pPr>
        <w:pStyle w:val="BodyText"/>
      </w:pPr>
      <w:r>
        <w:t xml:space="preserve">0.00465</w:t>
      </w:r>
    </w:p>
    <w:p>
      <w:pPr>
        <w:pStyle w:val="BodyText"/>
      </w:pPr>
      <w:r>
        <w:t xml:space="preserve">**</w:t>
      </w:r>
    </w:p>
    <w:p>
      <w:pPr>
        <w:pStyle w:val="BodyText"/>
      </w:pPr>
      <w:r>
        <w:t xml:space="preserve">##Table 4</w:t>
      </w:r>
    </w:p>
    <w:p>
      <w:pPr>
        <w:pStyle w:val="SourceCode"/>
      </w:pPr>
      <w:r>
        <w:rPr>
          <w:rStyle w:val="FunctionTok"/>
        </w:rPr>
        <w:t xml:space="preserve">formattable</w:t>
      </w:r>
      <w:r>
        <w:rPr>
          <w:rStyle w:val="NormalTok"/>
        </w:rPr>
        <w:t xml:space="preserve">(aov_min)</w:t>
      </w:r>
    </w:p>
    <w:p>
      <w:pPr>
        <w:pStyle w:val="FirstParagraph"/>
      </w:pPr>
      <w:r>
        <w:t xml:space="preserve">term</w:t>
      </w:r>
    </w:p>
    <w:p>
      <w:pPr>
        <w:pStyle w:val="BodyText"/>
      </w:pPr>
      <w:r>
        <w:t xml:space="preserve">df</w:t>
      </w:r>
    </w:p>
    <w:p>
      <w:pPr>
        <w:pStyle w:val="BodyText"/>
      </w:pPr>
      <w:r>
        <w:t xml:space="preserve">sumsq</w:t>
      </w:r>
    </w:p>
    <w:p>
      <w:pPr>
        <w:pStyle w:val="BodyText"/>
      </w:pPr>
      <w:r>
        <w:t xml:space="preserve">meansq</w:t>
      </w:r>
    </w:p>
    <w:p>
      <w:pPr>
        <w:pStyle w:val="BodyText"/>
      </w:pPr>
      <w:r>
        <w:t xml:space="preserve">statistic</w:t>
      </w:r>
    </w:p>
    <w:p>
      <w:pPr>
        <w:pStyle w:val="BodyText"/>
      </w:pPr>
      <w:r>
        <w:t xml:space="preserve">p.value</w:t>
      </w:r>
    </w:p>
    <w:p>
      <w:pPr>
        <w:pStyle w:val="BodyText"/>
      </w:pPr>
      <w:r>
        <w:t xml:space="preserve">strategy</w:t>
      </w:r>
    </w:p>
    <w:p>
      <w:pPr>
        <w:pStyle w:val="BodyText"/>
      </w:pPr>
      <w:r>
        <w:t xml:space="preserve">3</w:t>
      </w:r>
    </w:p>
    <w:p>
      <w:pPr>
        <w:pStyle w:val="BodyText"/>
      </w:pPr>
      <w:r>
        <w:t xml:space="preserve">2747</w:t>
      </w:r>
    </w:p>
    <w:p>
      <w:pPr>
        <w:pStyle w:val="BodyText"/>
      </w:pPr>
      <w:r>
        <w:t xml:space="preserve">915.8</w:t>
      </w:r>
    </w:p>
    <w:p>
      <w:pPr>
        <w:pStyle w:val="BodyText"/>
      </w:pPr>
      <w:r>
        <w:t xml:space="preserve">2.574</w:t>
      </w:r>
    </w:p>
    <w:p>
      <w:pPr>
        <w:pStyle w:val="BodyText"/>
      </w:pPr>
      <w:r>
        <w:t xml:space="preserve">0.05358</w:t>
      </w:r>
    </w:p>
    <w:p>
      <w:pPr>
        <w:pStyle w:val="BodyText"/>
      </w:pPr>
      <w:r>
        <w:t xml:space="preserve">Residuals</w:t>
      </w:r>
    </w:p>
    <w:p>
      <w:pPr>
        <w:pStyle w:val="BodyText"/>
      </w:pPr>
      <w:r>
        <w:t xml:space="preserve">424</w:t>
      </w:r>
    </w:p>
    <w:p>
      <w:pPr>
        <w:pStyle w:val="BodyText"/>
      </w:pPr>
      <w:r>
        <w:t xml:space="preserve">150878</w:t>
      </w:r>
    </w:p>
    <w:p>
      <w:pPr>
        <w:pStyle w:val="BodyText"/>
      </w:pPr>
      <w:r>
        <w:t xml:space="preserve">355.8</w:t>
      </w:r>
    </w:p>
    <w:p>
      <w:pPr>
        <w:pStyle w:val="BodyText"/>
      </w:pPr>
      <w:r>
        <w:t xml:space="preserve">NA</w:t>
      </w:r>
    </w:p>
    <w:p>
      <w:pPr>
        <w:pStyle w:val="BodyText"/>
      </w:pPr>
      <w:r>
        <w:t xml:space="preserve">NA</w:t>
      </w:r>
    </w:p>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2023-02-06T19:06:23Z</dcterms:created>
  <dcterms:modified xsi:type="dcterms:W3CDTF">2023-02-06T19:06:23Z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