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D46C" w14:textId="77777777" w:rsidR="00A2525D" w:rsidRDefault="00A2525D" w:rsidP="00A2525D"/>
    <w:p w14:paraId="49D8026F" w14:textId="77777777" w:rsidR="00A2525D" w:rsidRDefault="00A2525D" w:rsidP="00A2525D"/>
    <w:p w14:paraId="7EE235EF" w14:textId="1A2050F4" w:rsidR="00A2525D" w:rsidRPr="00A2525D" w:rsidRDefault="00A2525D" w:rsidP="00A2525D">
      <w:pPr>
        <w:rPr>
          <w:b/>
          <w:bCs/>
          <w:sz w:val="32"/>
          <w:szCs w:val="32"/>
        </w:rPr>
      </w:pPr>
      <w:r w:rsidRPr="00A2525D">
        <w:rPr>
          <w:b/>
          <w:bCs/>
          <w:sz w:val="32"/>
          <w:szCs w:val="32"/>
        </w:rPr>
        <w:t>Introduction</w:t>
      </w:r>
    </w:p>
    <w:p w14:paraId="5B91C827" w14:textId="77777777" w:rsidR="00A2525D" w:rsidRDefault="00A2525D" w:rsidP="00A2525D"/>
    <w:p w14:paraId="473C1B51" w14:textId="77777777" w:rsidR="00A2525D" w:rsidRDefault="00A2525D" w:rsidP="00A2525D">
      <w:r>
        <w:t>The evaluation of cardiotoxicity is a crucial aspect of drug development. Current regulatory guidelines for drug safety require the measurement of IKr channel block in vitro and QT interval prolongation in vivo to assess the arrhythmic risk of a drug. However, it has become evident that these markers alone are insufficient to predict cardiotoxic behavior accurately. A new paradigm has been proposed, which combines in vitro studies that measure the drug's effect on different ionic channels and in-silico models of cardiac myocyte electrophysiology. This report evaluates the cardiotoxicity of Ritonavir using the MATLAB program provided.</w:t>
      </w:r>
    </w:p>
    <w:p w14:paraId="67F0D840" w14:textId="77777777" w:rsidR="00A2525D" w:rsidRDefault="00A2525D" w:rsidP="00A2525D"/>
    <w:p w14:paraId="1DA509AF" w14:textId="6F22264C" w:rsidR="00A2525D" w:rsidRPr="00A2525D" w:rsidRDefault="00A2525D" w:rsidP="00A2525D">
      <w:pPr>
        <w:rPr>
          <w:b/>
          <w:bCs/>
          <w:sz w:val="32"/>
          <w:szCs w:val="32"/>
        </w:rPr>
      </w:pPr>
      <w:r w:rsidRPr="00A2525D">
        <w:rPr>
          <w:b/>
          <w:bCs/>
          <w:sz w:val="32"/>
          <w:szCs w:val="32"/>
        </w:rPr>
        <w:t>Methodology</w:t>
      </w:r>
    </w:p>
    <w:p w14:paraId="3686F3E2" w14:textId="77777777" w:rsidR="00A2525D" w:rsidRDefault="00A2525D" w:rsidP="00A2525D"/>
    <w:p w14:paraId="5F7150C5" w14:textId="77777777" w:rsidR="00A2525D" w:rsidRDefault="00A2525D" w:rsidP="00A2525D">
      <w:r>
        <w:t>The effect of Ritonavir on the different ionic channels was modeled using a pore block model, which reduces the channel conductance based on the available half-maximal inhibitor concentration, IC50, and Hill coefficient, n, using the formula:</w:t>
      </w:r>
    </w:p>
    <w:p w14:paraId="3DBA0EB3" w14:textId="77777777" w:rsidR="00A2525D" w:rsidRDefault="00A2525D" w:rsidP="00A2525D"/>
    <w:p w14:paraId="7C14947A" w14:textId="77777777" w:rsidR="00A2525D" w:rsidRPr="00A2525D" w:rsidRDefault="00A2525D" w:rsidP="00A2525D">
      <w:pPr>
        <w:spacing w:before="60" w:after="60"/>
        <w:jc w:val="center"/>
        <w:rPr>
          <w:lang w:val="en-US"/>
        </w:rPr>
      </w:pPr>
      <m:oMathPara>
        <m:oMathParaPr>
          <m:jc m:val="left"/>
        </m:oMathParaPr>
        <m:oMath>
          <m:r>
            <w:rPr>
              <w:rFonts w:ascii="Cambria Math" w:hAnsi="Cambria Math"/>
              <w:lang w:val="en-US"/>
            </w:rPr>
            <m:t>FB=</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[IC]</m:t>
                          </m:r>
                        </m:num>
                        <m:den>
                          <m:sSub>
                            <m:sSubPr>
                              <m:ctrlPr>
                                <w:rPr>
                                  <w:rFonts w:ascii="Cambria Math" w:hAnsi="Cambria Math"/>
                                  <w:i/>
                                  <w:lang w:val="en-US"/>
                                </w:rPr>
                              </m:ctrlPr>
                            </m:sSubPr>
                            <m:e>
                              <m:r>
                                <w:rPr>
                                  <w:rFonts w:ascii="Cambria Math" w:hAnsi="Cambria Math"/>
                                  <w:lang w:val="en-US"/>
                                </w:rPr>
                                <m:t>IC</m:t>
                              </m:r>
                            </m:e>
                            <m:sub>
                              <m:r>
                                <w:rPr>
                                  <w:rFonts w:ascii="Cambria Math" w:hAnsi="Cambria Math"/>
                                  <w:lang w:val="en-US"/>
                                </w:rPr>
                                <m:t>50</m:t>
                              </m:r>
                            </m:sub>
                          </m:sSub>
                        </m:den>
                      </m:f>
                    </m:e>
                  </m:d>
                </m:e>
                <m:sup>
                  <m:r>
                    <w:rPr>
                      <w:rFonts w:ascii="Cambria Math" w:hAnsi="Cambria Math"/>
                      <w:lang w:val="en-US"/>
                    </w:rPr>
                    <m:t>n</m:t>
                  </m:r>
                </m:sup>
              </m:sSup>
            </m:den>
          </m:f>
        </m:oMath>
      </m:oMathPara>
    </w:p>
    <w:p w14:paraId="53D0608B" w14:textId="77777777" w:rsidR="00A2525D" w:rsidRDefault="00A2525D" w:rsidP="00A2525D"/>
    <w:p w14:paraId="0D210942" w14:textId="77777777" w:rsidR="00A2525D" w:rsidRDefault="00A2525D" w:rsidP="00A2525D">
      <w:r>
        <w:t>where FB is the fraction of channel block.</w:t>
      </w:r>
    </w:p>
    <w:p w14:paraId="476CD0FD" w14:textId="77777777" w:rsidR="00A2525D" w:rsidRDefault="00A2525D" w:rsidP="00A2525D"/>
    <w:p w14:paraId="349A539A" w14:textId="77777777" w:rsidR="00A2525D" w:rsidRDefault="00A2525D" w:rsidP="00A2525D">
      <w:r>
        <w:t>To evaluate the cardiotoxic effect, the electrophysiological variability inherent in the cardiac tissue was considered by using a population of models approach. The file mask.mat contains channel conductance multiplying factors corresponding to ten different models of ventricular myocytes. Each column of the file corresponds to an ionic channel in the O'Hara model.</w:t>
      </w:r>
    </w:p>
    <w:p w14:paraId="5CB39E8B" w14:textId="77777777" w:rsidR="00A2525D" w:rsidRDefault="00A2525D" w:rsidP="00A2525D"/>
    <w:p w14:paraId="1BDBBFBA" w14:textId="77777777" w:rsidR="00A2525D" w:rsidRDefault="00A2525D" w:rsidP="00A2525D"/>
    <w:tbl>
      <w:tblPr>
        <w:tblW w:w="9002" w:type="dxa"/>
        <w:tblCellMar>
          <w:left w:w="70" w:type="dxa"/>
          <w:right w:w="70" w:type="dxa"/>
        </w:tblCellMar>
        <w:tblLook w:val="04A0" w:firstRow="1" w:lastRow="0" w:firstColumn="1" w:lastColumn="0" w:noHBand="0" w:noVBand="1"/>
      </w:tblPr>
      <w:tblGrid>
        <w:gridCol w:w="1485"/>
        <w:gridCol w:w="2010"/>
        <w:gridCol w:w="5507"/>
      </w:tblGrid>
      <w:tr w:rsidR="00A2525D" w:rsidRPr="00693625" w14:paraId="7F0804FC" w14:textId="77777777" w:rsidTr="00C857EA">
        <w:trPr>
          <w:trHeight w:val="300"/>
        </w:trPr>
        <w:tc>
          <w:tcPr>
            <w:tcW w:w="1485" w:type="dxa"/>
            <w:vMerge w:val="restart"/>
            <w:tcBorders>
              <w:top w:val="single" w:sz="8" w:space="0" w:color="auto"/>
              <w:left w:val="nil"/>
              <w:bottom w:val="single" w:sz="8" w:space="0" w:color="000000"/>
              <w:right w:val="nil"/>
            </w:tcBorders>
            <w:shd w:val="clear" w:color="auto" w:fill="auto"/>
            <w:noWrap/>
            <w:vAlign w:val="center"/>
            <w:hideMark/>
          </w:tcPr>
          <w:p w14:paraId="403F0DC9" w14:textId="77777777" w:rsidR="00A2525D" w:rsidRPr="004A70AC" w:rsidRDefault="00A2525D" w:rsidP="00C857EA">
            <w:pPr>
              <w:rPr>
                <w:rFonts w:cs="Arial"/>
                <w:color w:val="FF0000"/>
                <w:lang w:val="en" w:eastAsia="it-IT"/>
              </w:rPr>
            </w:pPr>
            <w:proofErr w:type="spellStart"/>
            <w:r w:rsidRPr="004A70AC">
              <w:rPr>
                <w:rFonts w:cs="Arial"/>
                <w:color w:val="FF0000"/>
                <w:lang w:val="en"/>
              </w:rPr>
              <w:t>Gna</w:t>
            </w:r>
            <w:proofErr w:type="spellEnd"/>
          </w:p>
        </w:tc>
        <w:tc>
          <w:tcPr>
            <w:tcW w:w="2010" w:type="dxa"/>
            <w:tcBorders>
              <w:top w:val="single" w:sz="8" w:space="0" w:color="auto"/>
              <w:left w:val="nil"/>
              <w:bottom w:val="nil"/>
              <w:right w:val="single" w:sz="8" w:space="0" w:color="auto"/>
            </w:tcBorders>
            <w:shd w:val="clear" w:color="auto" w:fill="auto"/>
            <w:noWrap/>
            <w:vAlign w:val="center"/>
            <w:hideMark/>
          </w:tcPr>
          <w:p w14:paraId="4E00B874" w14:textId="77777777" w:rsidR="00A2525D" w:rsidRPr="00171EB8" w:rsidRDefault="00A2525D" w:rsidP="00C857EA">
            <w:pPr>
              <w:jc w:val="center"/>
              <w:rPr>
                <w:rFonts w:cs="Arial"/>
                <w:color w:val="000000"/>
                <w:lang w:val="en"/>
              </w:rPr>
            </w:pPr>
            <w:r w:rsidRPr="00171EB8">
              <w:rPr>
                <w:rFonts w:cs="Arial"/>
                <w:color w:val="000000"/>
                <w:lang w:val="en"/>
              </w:rPr>
              <w:t>Hill Coeff.</w:t>
            </w:r>
          </w:p>
        </w:tc>
        <w:tc>
          <w:tcPr>
            <w:tcW w:w="5507" w:type="dxa"/>
            <w:tcBorders>
              <w:top w:val="single" w:sz="8" w:space="0" w:color="auto"/>
              <w:left w:val="nil"/>
              <w:bottom w:val="nil"/>
              <w:right w:val="nil"/>
            </w:tcBorders>
            <w:shd w:val="clear" w:color="auto" w:fill="auto"/>
            <w:noWrap/>
            <w:vAlign w:val="bottom"/>
            <w:hideMark/>
          </w:tcPr>
          <w:p w14:paraId="0CB10B37" w14:textId="77777777" w:rsidR="00A2525D" w:rsidRPr="00171EB8" w:rsidRDefault="00A2525D" w:rsidP="00C857EA">
            <w:pPr>
              <w:jc w:val="center"/>
              <w:rPr>
                <w:rFonts w:cs="Arial"/>
                <w:color w:val="000000"/>
                <w:lang w:val="en"/>
              </w:rPr>
            </w:pPr>
            <w:r w:rsidRPr="00693625">
              <w:rPr>
                <w:color w:val="000000"/>
                <w:lang w:val="en"/>
              </w:rPr>
              <w:t>1</w:t>
            </w:r>
          </w:p>
        </w:tc>
      </w:tr>
      <w:tr w:rsidR="00A2525D" w:rsidRPr="00693625" w14:paraId="60D81431" w14:textId="77777777" w:rsidTr="00C857EA">
        <w:trPr>
          <w:trHeight w:val="320"/>
        </w:trPr>
        <w:tc>
          <w:tcPr>
            <w:tcW w:w="1485" w:type="dxa"/>
            <w:vMerge/>
            <w:tcBorders>
              <w:top w:val="single" w:sz="8" w:space="0" w:color="auto"/>
              <w:left w:val="nil"/>
              <w:bottom w:val="single" w:sz="8" w:space="0" w:color="000000"/>
              <w:right w:val="nil"/>
            </w:tcBorders>
            <w:shd w:val="clear" w:color="auto" w:fill="auto"/>
            <w:vAlign w:val="center"/>
            <w:hideMark/>
          </w:tcPr>
          <w:p w14:paraId="71B426BD" w14:textId="77777777" w:rsidR="00A2525D" w:rsidRPr="00171EB8" w:rsidRDefault="00A2525D" w:rsidP="00C857EA">
            <w:pPr>
              <w:jc w:val="center"/>
              <w:rPr>
                <w:rFonts w:cs="Arial"/>
                <w:color w:val="000000"/>
                <w:lang w:val="en"/>
              </w:rPr>
            </w:pPr>
          </w:p>
        </w:tc>
        <w:tc>
          <w:tcPr>
            <w:tcW w:w="2010" w:type="dxa"/>
            <w:tcBorders>
              <w:top w:val="nil"/>
              <w:left w:val="nil"/>
              <w:bottom w:val="single" w:sz="8" w:space="0" w:color="auto"/>
              <w:right w:val="single" w:sz="8" w:space="0" w:color="auto"/>
            </w:tcBorders>
            <w:shd w:val="clear" w:color="auto" w:fill="auto"/>
            <w:noWrap/>
            <w:vAlign w:val="center"/>
            <w:hideMark/>
          </w:tcPr>
          <w:p w14:paraId="273F0FC8" w14:textId="77777777" w:rsidR="00A2525D" w:rsidRPr="00171EB8" w:rsidRDefault="00A2525D" w:rsidP="00C857EA">
            <w:pPr>
              <w:jc w:val="center"/>
              <w:rPr>
                <w:rFonts w:cs="Arial"/>
                <w:color w:val="000000"/>
                <w:lang w:val="en"/>
              </w:rPr>
            </w:pPr>
            <w:r w:rsidRPr="00171EB8">
              <w:rPr>
                <w:rFonts w:cs="Arial"/>
                <w:color w:val="000000"/>
                <w:lang w:val="en"/>
              </w:rPr>
              <w:t>IC50 (</w:t>
            </w:r>
            <w:r w:rsidRPr="00171EB8">
              <w:rPr>
                <w:rFonts w:cs="Arial"/>
                <w:color w:val="000000"/>
              </w:rPr>
              <w:t>μ</w:t>
            </w:r>
            <w:r w:rsidRPr="00171EB8">
              <w:rPr>
                <w:rFonts w:cs="Arial"/>
                <w:color w:val="000000"/>
                <w:lang w:val="en"/>
              </w:rPr>
              <w:t>M)</w:t>
            </w:r>
          </w:p>
        </w:tc>
        <w:tc>
          <w:tcPr>
            <w:tcW w:w="5507" w:type="dxa"/>
            <w:tcBorders>
              <w:top w:val="nil"/>
              <w:left w:val="nil"/>
              <w:bottom w:val="single" w:sz="8" w:space="0" w:color="auto"/>
              <w:right w:val="nil"/>
            </w:tcBorders>
            <w:shd w:val="clear" w:color="auto" w:fill="auto"/>
            <w:noWrap/>
            <w:vAlign w:val="bottom"/>
            <w:hideMark/>
          </w:tcPr>
          <w:p w14:paraId="394D2D85" w14:textId="77777777" w:rsidR="00A2525D" w:rsidRPr="00171EB8" w:rsidRDefault="00A2525D" w:rsidP="00C857EA">
            <w:pPr>
              <w:jc w:val="center"/>
              <w:rPr>
                <w:rFonts w:cs="Arial"/>
                <w:color w:val="000000"/>
                <w:lang w:val="en"/>
              </w:rPr>
            </w:pPr>
            <w:r w:rsidRPr="00693625">
              <w:rPr>
                <w:color w:val="000000"/>
                <w:lang w:val="en"/>
              </w:rPr>
              <w:t>27.96163</w:t>
            </w:r>
          </w:p>
        </w:tc>
      </w:tr>
      <w:tr w:rsidR="00A2525D" w:rsidRPr="00693625" w14:paraId="246CED98" w14:textId="77777777" w:rsidTr="00C857EA">
        <w:trPr>
          <w:trHeight w:val="300"/>
        </w:trPr>
        <w:tc>
          <w:tcPr>
            <w:tcW w:w="1485" w:type="dxa"/>
            <w:vMerge w:val="restart"/>
            <w:tcBorders>
              <w:top w:val="nil"/>
              <w:left w:val="nil"/>
              <w:bottom w:val="single" w:sz="8" w:space="0" w:color="000000"/>
              <w:right w:val="nil"/>
            </w:tcBorders>
            <w:shd w:val="clear" w:color="auto" w:fill="auto"/>
            <w:noWrap/>
            <w:vAlign w:val="center"/>
            <w:hideMark/>
          </w:tcPr>
          <w:p w14:paraId="5C8B8393" w14:textId="77777777" w:rsidR="00A2525D" w:rsidRPr="00171EB8" w:rsidRDefault="00A2525D" w:rsidP="00C857EA">
            <w:pPr>
              <w:rPr>
                <w:rFonts w:cs="Arial"/>
                <w:color w:val="000000"/>
                <w:lang w:val="en"/>
              </w:rPr>
            </w:pPr>
            <w:proofErr w:type="spellStart"/>
            <w:r w:rsidRPr="004A70AC">
              <w:rPr>
                <w:rFonts w:cs="Arial"/>
                <w:color w:val="FF0000"/>
                <w:lang w:val="en"/>
              </w:rPr>
              <w:t>GNaL</w:t>
            </w:r>
            <w:proofErr w:type="spellEnd"/>
          </w:p>
        </w:tc>
        <w:tc>
          <w:tcPr>
            <w:tcW w:w="2010" w:type="dxa"/>
            <w:tcBorders>
              <w:top w:val="nil"/>
              <w:left w:val="nil"/>
              <w:bottom w:val="nil"/>
              <w:right w:val="single" w:sz="8" w:space="0" w:color="auto"/>
            </w:tcBorders>
            <w:shd w:val="clear" w:color="auto" w:fill="auto"/>
            <w:noWrap/>
            <w:vAlign w:val="center"/>
            <w:hideMark/>
          </w:tcPr>
          <w:p w14:paraId="6F438E31" w14:textId="77777777" w:rsidR="00A2525D" w:rsidRPr="00171EB8" w:rsidRDefault="00A2525D" w:rsidP="00C857EA">
            <w:pPr>
              <w:jc w:val="center"/>
              <w:rPr>
                <w:rFonts w:cs="Arial"/>
                <w:color w:val="000000"/>
                <w:lang w:val="en"/>
              </w:rPr>
            </w:pPr>
            <w:r w:rsidRPr="00171EB8">
              <w:rPr>
                <w:rFonts w:cs="Arial"/>
                <w:color w:val="000000"/>
                <w:lang w:val="en"/>
              </w:rPr>
              <w:t>Hill Coeff.</w:t>
            </w:r>
          </w:p>
        </w:tc>
        <w:tc>
          <w:tcPr>
            <w:tcW w:w="5507" w:type="dxa"/>
            <w:tcBorders>
              <w:top w:val="nil"/>
              <w:left w:val="nil"/>
              <w:bottom w:val="nil"/>
              <w:right w:val="nil"/>
            </w:tcBorders>
            <w:shd w:val="clear" w:color="auto" w:fill="auto"/>
            <w:noWrap/>
            <w:vAlign w:val="bottom"/>
            <w:hideMark/>
          </w:tcPr>
          <w:p w14:paraId="0DB2EE4E" w14:textId="77777777" w:rsidR="00A2525D" w:rsidRPr="00171EB8" w:rsidRDefault="00A2525D" w:rsidP="00C857EA">
            <w:pPr>
              <w:jc w:val="center"/>
              <w:rPr>
                <w:rFonts w:cs="Arial"/>
                <w:color w:val="000000"/>
                <w:lang w:val="en"/>
              </w:rPr>
            </w:pPr>
            <w:r w:rsidRPr="00693625">
              <w:rPr>
                <w:color w:val="000000"/>
                <w:lang w:val="en"/>
              </w:rPr>
              <w:t>0.7</w:t>
            </w:r>
          </w:p>
        </w:tc>
      </w:tr>
      <w:tr w:rsidR="00A2525D" w:rsidRPr="00693625" w14:paraId="20B301EE" w14:textId="77777777" w:rsidTr="00C857EA">
        <w:trPr>
          <w:trHeight w:val="320"/>
        </w:trPr>
        <w:tc>
          <w:tcPr>
            <w:tcW w:w="1485" w:type="dxa"/>
            <w:vMerge/>
            <w:tcBorders>
              <w:top w:val="nil"/>
              <w:left w:val="nil"/>
              <w:bottom w:val="single" w:sz="8" w:space="0" w:color="000000"/>
              <w:right w:val="nil"/>
            </w:tcBorders>
            <w:shd w:val="clear" w:color="auto" w:fill="auto"/>
            <w:vAlign w:val="center"/>
            <w:hideMark/>
          </w:tcPr>
          <w:p w14:paraId="01E3B019" w14:textId="77777777" w:rsidR="00A2525D" w:rsidRPr="00171EB8" w:rsidRDefault="00A2525D" w:rsidP="00C857EA">
            <w:pPr>
              <w:jc w:val="center"/>
              <w:rPr>
                <w:rFonts w:cs="Arial"/>
                <w:color w:val="000000"/>
                <w:lang w:val="en"/>
              </w:rPr>
            </w:pPr>
          </w:p>
        </w:tc>
        <w:tc>
          <w:tcPr>
            <w:tcW w:w="2010" w:type="dxa"/>
            <w:tcBorders>
              <w:top w:val="nil"/>
              <w:left w:val="nil"/>
              <w:bottom w:val="single" w:sz="8" w:space="0" w:color="auto"/>
              <w:right w:val="single" w:sz="8" w:space="0" w:color="auto"/>
            </w:tcBorders>
            <w:shd w:val="clear" w:color="auto" w:fill="auto"/>
            <w:noWrap/>
            <w:vAlign w:val="center"/>
            <w:hideMark/>
          </w:tcPr>
          <w:p w14:paraId="16E75453" w14:textId="77777777" w:rsidR="00A2525D" w:rsidRPr="00171EB8" w:rsidRDefault="00A2525D" w:rsidP="00C857EA">
            <w:pPr>
              <w:jc w:val="center"/>
              <w:rPr>
                <w:rFonts w:cs="Arial"/>
                <w:color w:val="000000"/>
                <w:lang w:val="en"/>
              </w:rPr>
            </w:pPr>
            <w:r w:rsidRPr="00171EB8">
              <w:rPr>
                <w:rFonts w:cs="Arial"/>
                <w:color w:val="000000"/>
                <w:lang w:val="en"/>
              </w:rPr>
              <w:t>IC50 (</w:t>
            </w:r>
            <w:r w:rsidRPr="00171EB8">
              <w:rPr>
                <w:rFonts w:cs="Arial"/>
                <w:color w:val="000000"/>
              </w:rPr>
              <w:t>μ</w:t>
            </w:r>
            <w:r w:rsidRPr="00171EB8">
              <w:rPr>
                <w:rFonts w:cs="Arial"/>
                <w:color w:val="000000"/>
                <w:lang w:val="en"/>
              </w:rPr>
              <w:t>M)</w:t>
            </w:r>
          </w:p>
        </w:tc>
        <w:tc>
          <w:tcPr>
            <w:tcW w:w="5507" w:type="dxa"/>
            <w:tcBorders>
              <w:top w:val="nil"/>
              <w:left w:val="nil"/>
              <w:bottom w:val="single" w:sz="8" w:space="0" w:color="auto"/>
              <w:right w:val="nil"/>
            </w:tcBorders>
            <w:shd w:val="clear" w:color="auto" w:fill="auto"/>
            <w:noWrap/>
            <w:vAlign w:val="bottom"/>
            <w:hideMark/>
          </w:tcPr>
          <w:p w14:paraId="439AB232" w14:textId="77777777" w:rsidR="00A2525D" w:rsidRPr="00171EB8" w:rsidRDefault="00A2525D" w:rsidP="00C857EA">
            <w:pPr>
              <w:jc w:val="center"/>
              <w:rPr>
                <w:rFonts w:cs="Arial"/>
                <w:color w:val="000000"/>
                <w:lang w:val="en"/>
              </w:rPr>
            </w:pPr>
            <w:r w:rsidRPr="00693625">
              <w:rPr>
                <w:color w:val="000000"/>
                <w:lang w:val="en"/>
              </w:rPr>
              <w:t>7.175</w:t>
            </w:r>
          </w:p>
        </w:tc>
      </w:tr>
      <w:tr w:rsidR="00A2525D" w:rsidRPr="00693625" w14:paraId="2A468126" w14:textId="77777777" w:rsidTr="00C857EA">
        <w:trPr>
          <w:trHeight w:val="300"/>
        </w:trPr>
        <w:tc>
          <w:tcPr>
            <w:tcW w:w="1485" w:type="dxa"/>
            <w:vMerge w:val="restart"/>
            <w:tcBorders>
              <w:top w:val="nil"/>
              <w:left w:val="nil"/>
              <w:bottom w:val="single" w:sz="8" w:space="0" w:color="000000"/>
              <w:right w:val="nil"/>
            </w:tcBorders>
            <w:shd w:val="clear" w:color="auto" w:fill="auto"/>
            <w:noWrap/>
            <w:vAlign w:val="center"/>
            <w:hideMark/>
          </w:tcPr>
          <w:p w14:paraId="0E5DD22B" w14:textId="77777777" w:rsidR="00A2525D" w:rsidRPr="00171EB8" w:rsidRDefault="00A2525D" w:rsidP="00C857EA">
            <w:pPr>
              <w:rPr>
                <w:rFonts w:cs="Arial"/>
                <w:color w:val="000000"/>
                <w:lang w:val="en"/>
              </w:rPr>
            </w:pPr>
            <w:proofErr w:type="spellStart"/>
            <w:r w:rsidRPr="00171EB8">
              <w:rPr>
                <w:rFonts w:cs="Arial"/>
                <w:color w:val="000000"/>
                <w:lang w:val="en"/>
              </w:rPr>
              <w:t>Gto</w:t>
            </w:r>
            <w:proofErr w:type="spellEnd"/>
          </w:p>
        </w:tc>
        <w:tc>
          <w:tcPr>
            <w:tcW w:w="2010" w:type="dxa"/>
            <w:tcBorders>
              <w:top w:val="nil"/>
              <w:left w:val="nil"/>
              <w:bottom w:val="nil"/>
              <w:right w:val="single" w:sz="8" w:space="0" w:color="auto"/>
            </w:tcBorders>
            <w:shd w:val="clear" w:color="auto" w:fill="auto"/>
            <w:noWrap/>
            <w:vAlign w:val="center"/>
            <w:hideMark/>
          </w:tcPr>
          <w:p w14:paraId="405472C5" w14:textId="77777777" w:rsidR="00A2525D" w:rsidRPr="00171EB8" w:rsidRDefault="00A2525D" w:rsidP="00C857EA">
            <w:pPr>
              <w:jc w:val="center"/>
              <w:rPr>
                <w:rFonts w:cs="Arial"/>
                <w:color w:val="000000"/>
                <w:lang w:val="en"/>
              </w:rPr>
            </w:pPr>
            <w:r w:rsidRPr="00171EB8">
              <w:rPr>
                <w:rFonts w:cs="Arial"/>
                <w:color w:val="000000"/>
                <w:lang w:val="en"/>
              </w:rPr>
              <w:t>Hill Coeff.</w:t>
            </w:r>
          </w:p>
        </w:tc>
        <w:tc>
          <w:tcPr>
            <w:tcW w:w="5507" w:type="dxa"/>
            <w:tcBorders>
              <w:top w:val="nil"/>
              <w:left w:val="nil"/>
              <w:bottom w:val="nil"/>
              <w:right w:val="nil"/>
            </w:tcBorders>
            <w:shd w:val="clear" w:color="auto" w:fill="auto"/>
            <w:noWrap/>
            <w:vAlign w:val="bottom"/>
            <w:hideMark/>
          </w:tcPr>
          <w:p w14:paraId="02C3BD6C" w14:textId="77777777" w:rsidR="00A2525D" w:rsidRPr="00171EB8" w:rsidRDefault="00A2525D" w:rsidP="00C857EA">
            <w:pPr>
              <w:jc w:val="center"/>
              <w:rPr>
                <w:rFonts w:cs="Arial"/>
                <w:color w:val="000000"/>
                <w:lang w:val="en"/>
              </w:rPr>
            </w:pPr>
            <w:r w:rsidRPr="00693625">
              <w:rPr>
                <w:color w:val="000000"/>
                <w:lang w:val="en"/>
              </w:rPr>
              <w:t>1</w:t>
            </w:r>
          </w:p>
        </w:tc>
      </w:tr>
      <w:tr w:rsidR="00A2525D" w:rsidRPr="00693625" w14:paraId="7FBFD58E" w14:textId="77777777" w:rsidTr="00C857EA">
        <w:trPr>
          <w:trHeight w:val="320"/>
        </w:trPr>
        <w:tc>
          <w:tcPr>
            <w:tcW w:w="1485" w:type="dxa"/>
            <w:vMerge/>
            <w:tcBorders>
              <w:top w:val="nil"/>
              <w:left w:val="nil"/>
              <w:bottom w:val="single" w:sz="8" w:space="0" w:color="000000"/>
              <w:right w:val="nil"/>
            </w:tcBorders>
            <w:shd w:val="clear" w:color="auto" w:fill="auto"/>
            <w:vAlign w:val="center"/>
            <w:hideMark/>
          </w:tcPr>
          <w:p w14:paraId="6DD54906" w14:textId="77777777" w:rsidR="00A2525D" w:rsidRPr="00171EB8" w:rsidRDefault="00A2525D" w:rsidP="00C857EA">
            <w:pPr>
              <w:jc w:val="center"/>
              <w:rPr>
                <w:rFonts w:cs="Arial"/>
                <w:color w:val="000000"/>
                <w:lang w:val="en"/>
              </w:rPr>
            </w:pPr>
          </w:p>
        </w:tc>
        <w:tc>
          <w:tcPr>
            <w:tcW w:w="2010" w:type="dxa"/>
            <w:tcBorders>
              <w:top w:val="nil"/>
              <w:left w:val="nil"/>
              <w:bottom w:val="single" w:sz="8" w:space="0" w:color="auto"/>
              <w:right w:val="single" w:sz="8" w:space="0" w:color="auto"/>
            </w:tcBorders>
            <w:shd w:val="clear" w:color="auto" w:fill="auto"/>
            <w:noWrap/>
            <w:vAlign w:val="center"/>
            <w:hideMark/>
          </w:tcPr>
          <w:p w14:paraId="2A5F6132" w14:textId="77777777" w:rsidR="00A2525D" w:rsidRPr="00171EB8" w:rsidRDefault="00A2525D" w:rsidP="00C857EA">
            <w:pPr>
              <w:jc w:val="center"/>
              <w:rPr>
                <w:rFonts w:cs="Arial"/>
                <w:color w:val="000000"/>
                <w:lang w:val="en"/>
              </w:rPr>
            </w:pPr>
            <w:r w:rsidRPr="00171EB8">
              <w:rPr>
                <w:rFonts w:cs="Arial"/>
                <w:color w:val="000000"/>
                <w:lang w:val="en"/>
              </w:rPr>
              <w:t>IC50 (</w:t>
            </w:r>
            <w:r w:rsidRPr="00171EB8">
              <w:rPr>
                <w:rFonts w:cs="Arial"/>
                <w:color w:val="000000"/>
              </w:rPr>
              <w:t>μ</w:t>
            </w:r>
            <w:r w:rsidRPr="00171EB8">
              <w:rPr>
                <w:rFonts w:cs="Arial"/>
                <w:color w:val="000000"/>
                <w:lang w:val="en"/>
              </w:rPr>
              <w:t>M)</w:t>
            </w:r>
          </w:p>
        </w:tc>
        <w:tc>
          <w:tcPr>
            <w:tcW w:w="5507" w:type="dxa"/>
            <w:tcBorders>
              <w:top w:val="nil"/>
              <w:left w:val="nil"/>
              <w:bottom w:val="single" w:sz="8" w:space="0" w:color="auto"/>
              <w:right w:val="nil"/>
            </w:tcBorders>
            <w:shd w:val="clear" w:color="auto" w:fill="auto"/>
            <w:noWrap/>
            <w:vAlign w:val="bottom"/>
            <w:hideMark/>
          </w:tcPr>
          <w:p w14:paraId="282071F0" w14:textId="77777777" w:rsidR="00A2525D" w:rsidRPr="00171EB8" w:rsidRDefault="00A2525D" w:rsidP="00C857EA">
            <w:pPr>
              <w:jc w:val="center"/>
              <w:rPr>
                <w:rFonts w:cs="Arial"/>
                <w:color w:val="000000"/>
                <w:lang w:val="en"/>
              </w:rPr>
            </w:pPr>
            <w:r w:rsidRPr="00693625">
              <w:rPr>
                <w:rFonts w:ascii="DengXian" w:eastAsia="DengXian" w:hAnsi="DengXian" w:hint="eastAsia"/>
                <w:color w:val="000000"/>
                <w:lang w:val="en"/>
              </w:rPr>
              <w:t>∞</w:t>
            </w:r>
          </w:p>
        </w:tc>
      </w:tr>
      <w:tr w:rsidR="00A2525D" w:rsidRPr="00693625" w14:paraId="0BF79C7B" w14:textId="77777777" w:rsidTr="00C857EA">
        <w:trPr>
          <w:trHeight w:val="300"/>
        </w:trPr>
        <w:tc>
          <w:tcPr>
            <w:tcW w:w="1485" w:type="dxa"/>
            <w:vMerge w:val="restart"/>
            <w:tcBorders>
              <w:top w:val="nil"/>
              <w:left w:val="nil"/>
              <w:bottom w:val="single" w:sz="8" w:space="0" w:color="000000"/>
              <w:right w:val="nil"/>
            </w:tcBorders>
            <w:shd w:val="clear" w:color="auto" w:fill="auto"/>
            <w:noWrap/>
            <w:vAlign w:val="center"/>
            <w:hideMark/>
          </w:tcPr>
          <w:p w14:paraId="7D70B2D3" w14:textId="77777777" w:rsidR="00A2525D" w:rsidRPr="00171EB8" w:rsidRDefault="00A2525D" w:rsidP="00C857EA">
            <w:pPr>
              <w:rPr>
                <w:rFonts w:cs="Arial"/>
                <w:color w:val="000000"/>
                <w:lang w:val="en"/>
              </w:rPr>
            </w:pPr>
            <w:proofErr w:type="spellStart"/>
            <w:r w:rsidRPr="004A70AC">
              <w:rPr>
                <w:rFonts w:cs="Arial"/>
                <w:color w:val="FF0000"/>
                <w:lang w:val="en"/>
              </w:rPr>
              <w:t>GKr</w:t>
            </w:r>
            <w:proofErr w:type="spellEnd"/>
          </w:p>
        </w:tc>
        <w:tc>
          <w:tcPr>
            <w:tcW w:w="2010" w:type="dxa"/>
            <w:tcBorders>
              <w:top w:val="nil"/>
              <w:left w:val="nil"/>
              <w:bottom w:val="nil"/>
              <w:right w:val="single" w:sz="8" w:space="0" w:color="auto"/>
            </w:tcBorders>
            <w:shd w:val="clear" w:color="auto" w:fill="auto"/>
            <w:noWrap/>
            <w:vAlign w:val="center"/>
            <w:hideMark/>
          </w:tcPr>
          <w:p w14:paraId="67894DCC" w14:textId="77777777" w:rsidR="00A2525D" w:rsidRPr="00171EB8" w:rsidRDefault="00A2525D" w:rsidP="00C857EA">
            <w:pPr>
              <w:jc w:val="center"/>
              <w:rPr>
                <w:rFonts w:cs="Arial"/>
                <w:color w:val="000000"/>
                <w:lang w:val="en"/>
              </w:rPr>
            </w:pPr>
            <w:r w:rsidRPr="00171EB8">
              <w:rPr>
                <w:rFonts w:cs="Arial"/>
                <w:color w:val="000000"/>
                <w:lang w:val="en"/>
              </w:rPr>
              <w:t>Hill Coeff.</w:t>
            </w:r>
          </w:p>
        </w:tc>
        <w:tc>
          <w:tcPr>
            <w:tcW w:w="5507" w:type="dxa"/>
            <w:tcBorders>
              <w:top w:val="nil"/>
              <w:left w:val="nil"/>
              <w:bottom w:val="nil"/>
              <w:right w:val="nil"/>
            </w:tcBorders>
            <w:shd w:val="clear" w:color="auto" w:fill="auto"/>
            <w:noWrap/>
            <w:vAlign w:val="bottom"/>
            <w:hideMark/>
          </w:tcPr>
          <w:p w14:paraId="197A82C6" w14:textId="77777777" w:rsidR="00A2525D" w:rsidRPr="00171EB8" w:rsidRDefault="00A2525D" w:rsidP="00C857EA">
            <w:pPr>
              <w:jc w:val="center"/>
              <w:rPr>
                <w:rFonts w:cs="Arial"/>
                <w:color w:val="000000"/>
                <w:lang w:val="en"/>
              </w:rPr>
            </w:pPr>
            <w:r w:rsidRPr="00693625">
              <w:rPr>
                <w:color w:val="000000"/>
                <w:lang w:val="en"/>
              </w:rPr>
              <w:t>1</w:t>
            </w:r>
          </w:p>
        </w:tc>
      </w:tr>
      <w:tr w:rsidR="00A2525D" w:rsidRPr="00693625" w14:paraId="34F3E2BC" w14:textId="77777777" w:rsidTr="00C857EA">
        <w:trPr>
          <w:trHeight w:val="320"/>
        </w:trPr>
        <w:tc>
          <w:tcPr>
            <w:tcW w:w="1485" w:type="dxa"/>
            <w:vMerge/>
            <w:tcBorders>
              <w:top w:val="nil"/>
              <w:left w:val="nil"/>
              <w:bottom w:val="single" w:sz="8" w:space="0" w:color="000000"/>
              <w:right w:val="nil"/>
            </w:tcBorders>
            <w:shd w:val="clear" w:color="auto" w:fill="auto"/>
            <w:vAlign w:val="center"/>
            <w:hideMark/>
          </w:tcPr>
          <w:p w14:paraId="353AD727" w14:textId="77777777" w:rsidR="00A2525D" w:rsidRPr="00171EB8" w:rsidRDefault="00A2525D" w:rsidP="00C857EA">
            <w:pPr>
              <w:jc w:val="center"/>
              <w:rPr>
                <w:rFonts w:cs="Arial"/>
                <w:color w:val="000000"/>
                <w:lang w:val="en"/>
              </w:rPr>
            </w:pPr>
          </w:p>
        </w:tc>
        <w:tc>
          <w:tcPr>
            <w:tcW w:w="2010" w:type="dxa"/>
            <w:tcBorders>
              <w:top w:val="nil"/>
              <w:left w:val="nil"/>
              <w:bottom w:val="single" w:sz="8" w:space="0" w:color="auto"/>
              <w:right w:val="single" w:sz="8" w:space="0" w:color="auto"/>
            </w:tcBorders>
            <w:shd w:val="clear" w:color="auto" w:fill="auto"/>
            <w:noWrap/>
            <w:vAlign w:val="center"/>
            <w:hideMark/>
          </w:tcPr>
          <w:p w14:paraId="2D5CBD0C" w14:textId="77777777" w:rsidR="00A2525D" w:rsidRPr="00171EB8" w:rsidRDefault="00A2525D" w:rsidP="00C857EA">
            <w:pPr>
              <w:jc w:val="center"/>
              <w:rPr>
                <w:rFonts w:cs="Arial"/>
                <w:color w:val="000000"/>
                <w:lang w:val="en"/>
              </w:rPr>
            </w:pPr>
            <w:r w:rsidRPr="00171EB8">
              <w:rPr>
                <w:rFonts w:cs="Arial"/>
                <w:color w:val="000000"/>
                <w:lang w:val="en"/>
              </w:rPr>
              <w:t>IC50 (</w:t>
            </w:r>
            <w:r w:rsidRPr="00171EB8">
              <w:rPr>
                <w:rFonts w:cs="Arial"/>
                <w:color w:val="000000"/>
              </w:rPr>
              <w:t>μ</w:t>
            </w:r>
            <w:r w:rsidRPr="00171EB8">
              <w:rPr>
                <w:rFonts w:cs="Arial"/>
                <w:color w:val="000000"/>
                <w:lang w:val="en"/>
              </w:rPr>
              <w:t>M)</w:t>
            </w:r>
          </w:p>
        </w:tc>
        <w:tc>
          <w:tcPr>
            <w:tcW w:w="5507" w:type="dxa"/>
            <w:tcBorders>
              <w:top w:val="nil"/>
              <w:left w:val="nil"/>
              <w:bottom w:val="single" w:sz="8" w:space="0" w:color="auto"/>
              <w:right w:val="nil"/>
            </w:tcBorders>
            <w:shd w:val="clear" w:color="auto" w:fill="auto"/>
            <w:noWrap/>
            <w:vAlign w:val="bottom"/>
            <w:hideMark/>
          </w:tcPr>
          <w:p w14:paraId="59CD52F2" w14:textId="77777777" w:rsidR="00A2525D" w:rsidRPr="00171EB8" w:rsidRDefault="00A2525D" w:rsidP="00C857EA">
            <w:pPr>
              <w:jc w:val="center"/>
              <w:rPr>
                <w:rFonts w:cs="Arial"/>
                <w:color w:val="000000"/>
                <w:lang w:val="en"/>
              </w:rPr>
            </w:pPr>
            <w:r w:rsidRPr="00693625">
              <w:rPr>
                <w:color w:val="000000"/>
                <w:lang w:val="en"/>
              </w:rPr>
              <w:t>5.157</w:t>
            </w:r>
          </w:p>
        </w:tc>
      </w:tr>
      <w:tr w:rsidR="00A2525D" w:rsidRPr="00693625" w14:paraId="323ACC8B" w14:textId="77777777" w:rsidTr="00C857EA">
        <w:trPr>
          <w:trHeight w:val="300"/>
        </w:trPr>
        <w:tc>
          <w:tcPr>
            <w:tcW w:w="1485" w:type="dxa"/>
            <w:vMerge w:val="restart"/>
            <w:tcBorders>
              <w:top w:val="nil"/>
              <w:left w:val="nil"/>
              <w:bottom w:val="single" w:sz="8" w:space="0" w:color="000000"/>
              <w:right w:val="nil"/>
            </w:tcBorders>
            <w:shd w:val="clear" w:color="auto" w:fill="auto"/>
            <w:noWrap/>
            <w:vAlign w:val="center"/>
            <w:hideMark/>
          </w:tcPr>
          <w:p w14:paraId="0B4E1174" w14:textId="77777777" w:rsidR="00A2525D" w:rsidRPr="00171EB8" w:rsidRDefault="00A2525D" w:rsidP="00C857EA">
            <w:pPr>
              <w:rPr>
                <w:rFonts w:cs="Arial"/>
                <w:color w:val="000000"/>
                <w:lang w:val="en"/>
              </w:rPr>
            </w:pPr>
            <w:r w:rsidRPr="00171EB8">
              <w:rPr>
                <w:rFonts w:cs="Arial"/>
                <w:color w:val="000000"/>
                <w:lang w:val="en"/>
              </w:rPr>
              <w:t>GKs</w:t>
            </w:r>
          </w:p>
        </w:tc>
        <w:tc>
          <w:tcPr>
            <w:tcW w:w="2010" w:type="dxa"/>
            <w:tcBorders>
              <w:top w:val="nil"/>
              <w:left w:val="nil"/>
              <w:bottom w:val="nil"/>
              <w:right w:val="single" w:sz="8" w:space="0" w:color="auto"/>
            </w:tcBorders>
            <w:shd w:val="clear" w:color="auto" w:fill="auto"/>
            <w:noWrap/>
            <w:vAlign w:val="center"/>
            <w:hideMark/>
          </w:tcPr>
          <w:p w14:paraId="4D0049BC" w14:textId="77777777" w:rsidR="00A2525D" w:rsidRPr="00171EB8" w:rsidRDefault="00A2525D" w:rsidP="00C857EA">
            <w:pPr>
              <w:jc w:val="center"/>
              <w:rPr>
                <w:rFonts w:cs="Arial"/>
                <w:color w:val="000000"/>
                <w:lang w:val="en"/>
              </w:rPr>
            </w:pPr>
            <w:r w:rsidRPr="00171EB8">
              <w:rPr>
                <w:rFonts w:cs="Arial"/>
                <w:color w:val="000000"/>
                <w:lang w:val="en"/>
              </w:rPr>
              <w:t>Hill Coeff.</w:t>
            </w:r>
          </w:p>
        </w:tc>
        <w:tc>
          <w:tcPr>
            <w:tcW w:w="5507" w:type="dxa"/>
            <w:tcBorders>
              <w:top w:val="nil"/>
              <w:left w:val="nil"/>
              <w:bottom w:val="nil"/>
              <w:right w:val="nil"/>
            </w:tcBorders>
            <w:shd w:val="clear" w:color="auto" w:fill="auto"/>
            <w:noWrap/>
            <w:vAlign w:val="bottom"/>
            <w:hideMark/>
          </w:tcPr>
          <w:p w14:paraId="1F198CC9" w14:textId="77777777" w:rsidR="00A2525D" w:rsidRPr="00171EB8" w:rsidRDefault="00A2525D" w:rsidP="00C857EA">
            <w:pPr>
              <w:jc w:val="center"/>
              <w:rPr>
                <w:rFonts w:cs="Arial"/>
                <w:color w:val="000000"/>
                <w:lang w:val="en"/>
              </w:rPr>
            </w:pPr>
            <w:r w:rsidRPr="00693625">
              <w:rPr>
                <w:color w:val="000000"/>
                <w:lang w:val="en"/>
              </w:rPr>
              <w:t>1</w:t>
            </w:r>
          </w:p>
        </w:tc>
      </w:tr>
      <w:tr w:rsidR="00A2525D" w:rsidRPr="00693625" w14:paraId="17C3385A" w14:textId="77777777" w:rsidTr="00C857EA">
        <w:trPr>
          <w:trHeight w:val="320"/>
        </w:trPr>
        <w:tc>
          <w:tcPr>
            <w:tcW w:w="1485" w:type="dxa"/>
            <w:vMerge/>
            <w:tcBorders>
              <w:top w:val="nil"/>
              <w:left w:val="nil"/>
              <w:bottom w:val="single" w:sz="8" w:space="0" w:color="000000"/>
              <w:right w:val="nil"/>
            </w:tcBorders>
            <w:shd w:val="clear" w:color="auto" w:fill="auto"/>
            <w:vAlign w:val="center"/>
            <w:hideMark/>
          </w:tcPr>
          <w:p w14:paraId="14C5BBF4" w14:textId="77777777" w:rsidR="00A2525D" w:rsidRPr="00171EB8" w:rsidRDefault="00A2525D" w:rsidP="00C857EA">
            <w:pPr>
              <w:jc w:val="center"/>
              <w:rPr>
                <w:rFonts w:cs="Arial"/>
                <w:color w:val="000000"/>
                <w:lang w:val="en"/>
              </w:rPr>
            </w:pPr>
          </w:p>
        </w:tc>
        <w:tc>
          <w:tcPr>
            <w:tcW w:w="2010" w:type="dxa"/>
            <w:tcBorders>
              <w:top w:val="nil"/>
              <w:left w:val="nil"/>
              <w:bottom w:val="single" w:sz="8" w:space="0" w:color="auto"/>
              <w:right w:val="single" w:sz="8" w:space="0" w:color="auto"/>
            </w:tcBorders>
            <w:shd w:val="clear" w:color="auto" w:fill="auto"/>
            <w:noWrap/>
            <w:vAlign w:val="center"/>
            <w:hideMark/>
          </w:tcPr>
          <w:p w14:paraId="00C82FC0" w14:textId="77777777" w:rsidR="00A2525D" w:rsidRPr="00171EB8" w:rsidRDefault="00A2525D" w:rsidP="00C857EA">
            <w:pPr>
              <w:jc w:val="center"/>
              <w:rPr>
                <w:rFonts w:cs="Arial"/>
                <w:color w:val="000000"/>
                <w:lang w:val="en"/>
              </w:rPr>
            </w:pPr>
            <w:r w:rsidRPr="00171EB8">
              <w:rPr>
                <w:rFonts w:cs="Arial"/>
                <w:color w:val="000000"/>
                <w:lang w:val="en"/>
              </w:rPr>
              <w:t>IC50 (</w:t>
            </w:r>
            <w:r w:rsidRPr="00171EB8">
              <w:rPr>
                <w:rFonts w:cs="Arial"/>
                <w:color w:val="000000"/>
              </w:rPr>
              <w:t>μ</w:t>
            </w:r>
            <w:r w:rsidRPr="00171EB8">
              <w:rPr>
                <w:rFonts w:cs="Arial"/>
                <w:color w:val="000000"/>
                <w:lang w:val="en"/>
              </w:rPr>
              <w:t>M)</w:t>
            </w:r>
          </w:p>
        </w:tc>
        <w:tc>
          <w:tcPr>
            <w:tcW w:w="5507" w:type="dxa"/>
            <w:tcBorders>
              <w:top w:val="nil"/>
              <w:left w:val="nil"/>
              <w:bottom w:val="single" w:sz="8" w:space="0" w:color="auto"/>
              <w:right w:val="nil"/>
            </w:tcBorders>
            <w:shd w:val="clear" w:color="auto" w:fill="auto"/>
            <w:noWrap/>
            <w:vAlign w:val="bottom"/>
            <w:hideMark/>
          </w:tcPr>
          <w:p w14:paraId="1ADC7D64" w14:textId="77777777" w:rsidR="00A2525D" w:rsidRPr="00171EB8" w:rsidRDefault="00A2525D" w:rsidP="00C857EA">
            <w:pPr>
              <w:jc w:val="center"/>
              <w:rPr>
                <w:rFonts w:cs="Arial"/>
                <w:color w:val="000000"/>
                <w:lang w:val="en"/>
              </w:rPr>
            </w:pPr>
            <w:r w:rsidRPr="00693625">
              <w:rPr>
                <w:rFonts w:ascii="DengXian" w:eastAsia="DengXian" w:hAnsi="DengXian" w:hint="eastAsia"/>
                <w:color w:val="000000"/>
                <w:lang w:val="en"/>
              </w:rPr>
              <w:t>∞</w:t>
            </w:r>
          </w:p>
        </w:tc>
      </w:tr>
      <w:tr w:rsidR="00A2525D" w:rsidRPr="00693625" w14:paraId="77194669" w14:textId="77777777" w:rsidTr="00C857EA">
        <w:trPr>
          <w:trHeight w:val="300"/>
        </w:trPr>
        <w:tc>
          <w:tcPr>
            <w:tcW w:w="1485" w:type="dxa"/>
            <w:vMerge w:val="restart"/>
            <w:tcBorders>
              <w:top w:val="nil"/>
              <w:left w:val="nil"/>
              <w:bottom w:val="single" w:sz="8" w:space="0" w:color="000000"/>
              <w:right w:val="nil"/>
            </w:tcBorders>
            <w:shd w:val="clear" w:color="auto" w:fill="auto"/>
            <w:noWrap/>
            <w:vAlign w:val="center"/>
            <w:hideMark/>
          </w:tcPr>
          <w:p w14:paraId="37559D90" w14:textId="77777777" w:rsidR="00A2525D" w:rsidRPr="00171EB8" w:rsidRDefault="00A2525D" w:rsidP="00C857EA">
            <w:pPr>
              <w:rPr>
                <w:rFonts w:cs="Arial"/>
                <w:color w:val="000000"/>
                <w:lang w:val="en"/>
              </w:rPr>
            </w:pPr>
            <w:r w:rsidRPr="00171EB8">
              <w:rPr>
                <w:rFonts w:cs="Arial"/>
                <w:color w:val="000000"/>
                <w:lang w:val="en"/>
              </w:rPr>
              <w:t>GK1</w:t>
            </w:r>
          </w:p>
        </w:tc>
        <w:tc>
          <w:tcPr>
            <w:tcW w:w="2010" w:type="dxa"/>
            <w:tcBorders>
              <w:top w:val="nil"/>
              <w:left w:val="nil"/>
              <w:bottom w:val="nil"/>
              <w:right w:val="single" w:sz="8" w:space="0" w:color="auto"/>
            </w:tcBorders>
            <w:shd w:val="clear" w:color="auto" w:fill="auto"/>
            <w:noWrap/>
            <w:vAlign w:val="center"/>
            <w:hideMark/>
          </w:tcPr>
          <w:p w14:paraId="6A8A7CBB" w14:textId="77777777" w:rsidR="00A2525D" w:rsidRPr="00171EB8" w:rsidRDefault="00A2525D" w:rsidP="00C857EA">
            <w:pPr>
              <w:jc w:val="center"/>
              <w:rPr>
                <w:rFonts w:cs="Arial"/>
                <w:color w:val="000000"/>
                <w:lang w:val="en"/>
              </w:rPr>
            </w:pPr>
            <w:r w:rsidRPr="00171EB8">
              <w:rPr>
                <w:rFonts w:cs="Arial"/>
                <w:color w:val="000000"/>
                <w:lang w:val="en"/>
              </w:rPr>
              <w:t>Hill Coeff.</w:t>
            </w:r>
          </w:p>
        </w:tc>
        <w:tc>
          <w:tcPr>
            <w:tcW w:w="5507" w:type="dxa"/>
            <w:tcBorders>
              <w:top w:val="nil"/>
              <w:left w:val="nil"/>
              <w:bottom w:val="nil"/>
              <w:right w:val="nil"/>
            </w:tcBorders>
            <w:shd w:val="clear" w:color="auto" w:fill="auto"/>
            <w:noWrap/>
            <w:vAlign w:val="bottom"/>
            <w:hideMark/>
          </w:tcPr>
          <w:p w14:paraId="5DE00B2B" w14:textId="77777777" w:rsidR="00A2525D" w:rsidRPr="00171EB8" w:rsidRDefault="00A2525D" w:rsidP="00C857EA">
            <w:pPr>
              <w:jc w:val="center"/>
              <w:rPr>
                <w:rFonts w:cs="Arial"/>
                <w:color w:val="000000"/>
                <w:lang w:val="en"/>
              </w:rPr>
            </w:pPr>
            <w:r w:rsidRPr="00693625">
              <w:rPr>
                <w:color w:val="000000"/>
                <w:lang w:val="en"/>
              </w:rPr>
              <w:t>1</w:t>
            </w:r>
          </w:p>
        </w:tc>
      </w:tr>
      <w:tr w:rsidR="00A2525D" w:rsidRPr="00693625" w14:paraId="3CC2251C" w14:textId="77777777" w:rsidTr="00C857EA">
        <w:trPr>
          <w:trHeight w:val="320"/>
        </w:trPr>
        <w:tc>
          <w:tcPr>
            <w:tcW w:w="1485" w:type="dxa"/>
            <w:vMerge/>
            <w:tcBorders>
              <w:top w:val="nil"/>
              <w:left w:val="nil"/>
              <w:bottom w:val="single" w:sz="8" w:space="0" w:color="000000"/>
              <w:right w:val="nil"/>
            </w:tcBorders>
            <w:shd w:val="clear" w:color="auto" w:fill="auto"/>
            <w:vAlign w:val="center"/>
            <w:hideMark/>
          </w:tcPr>
          <w:p w14:paraId="1FAF2986" w14:textId="77777777" w:rsidR="00A2525D" w:rsidRPr="00171EB8" w:rsidRDefault="00A2525D" w:rsidP="00C857EA">
            <w:pPr>
              <w:jc w:val="center"/>
              <w:rPr>
                <w:rFonts w:cs="Arial"/>
                <w:color w:val="000000"/>
                <w:lang w:val="en"/>
              </w:rPr>
            </w:pPr>
          </w:p>
        </w:tc>
        <w:tc>
          <w:tcPr>
            <w:tcW w:w="2010" w:type="dxa"/>
            <w:tcBorders>
              <w:top w:val="nil"/>
              <w:left w:val="nil"/>
              <w:bottom w:val="single" w:sz="8" w:space="0" w:color="auto"/>
              <w:right w:val="single" w:sz="8" w:space="0" w:color="auto"/>
            </w:tcBorders>
            <w:shd w:val="clear" w:color="auto" w:fill="auto"/>
            <w:noWrap/>
            <w:vAlign w:val="center"/>
            <w:hideMark/>
          </w:tcPr>
          <w:p w14:paraId="1DD8CB6E" w14:textId="77777777" w:rsidR="00A2525D" w:rsidRPr="00171EB8" w:rsidRDefault="00A2525D" w:rsidP="00C857EA">
            <w:pPr>
              <w:jc w:val="center"/>
              <w:rPr>
                <w:rFonts w:cs="Arial"/>
                <w:color w:val="000000"/>
                <w:lang w:val="en"/>
              </w:rPr>
            </w:pPr>
            <w:r w:rsidRPr="00171EB8">
              <w:rPr>
                <w:rFonts w:cs="Arial"/>
                <w:color w:val="000000"/>
                <w:lang w:val="en"/>
              </w:rPr>
              <w:t>IC50 (</w:t>
            </w:r>
            <w:r w:rsidRPr="00171EB8">
              <w:rPr>
                <w:rFonts w:cs="Arial"/>
                <w:color w:val="000000"/>
              </w:rPr>
              <w:t>μ</w:t>
            </w:r>
            <w:r w:rsidRPr="00171EB8">
              <w:rPr>
                <w:rFonts w:cs="Arial"/>
                <w:color w:val="000000"/>
                <w:lang w:val="en"/>
              </w:rPr>
              <w:t>M)</w:t>
            </w:r>
          </w:p>
        </w:tc>
        <w:tc>
          <w:tcPr>
            <w:tcW w:w="5507" w:type="dxa"/>
            <w:tcBorders>
              <w:top w:val="nil"/>
              <w:left w:val="nil"/>
              <w:bottom w:val="single" w:sz="8" w:space="0" w:color="auto"/>
              <w:right w:val="nil"/>
            </w:tcBorders>
            <w:shd w:val="clear" w:color="auto" w:fill="auto"/>
            <w:noWrap/>
            <w:vAlign w:val="bottom"/>
            <w:hideMark/>
          </w:tcPr>
          <w:p w14:paraId="2100F4F5" w14:textId="77777777" w:rsidR="00A2525D" w:rsidRPr="00171EB8" w:rsidRDefault="00A2525D" w:rsidP="00C857EA">
            <w:pPr>
              <w:jc w:val="center"/>
              <w:rPr>
                <w:rFonts w:cs="Arial"/>
                <w:color w:val="000000"/>
                <w:lang w:val="en"/>
              </w:rPr>
            </w:pPr>
            <w:r w:rsidRPr="00693625">
              <w:rPr>
                <w:rFonts w:ascii="DengXian" w:eastAsia="DengXian" w:hAnsi="DengXian" w:hint="eastAsia"/>
                <w:color w:val="000000"/>
                <w:lang w:val="en"/>
              </w:rPr>
              <w:t>∞</w:t>
            </w:r>
          </w:p>
        </w:tc>
      </w:tr>
      <w:tr w:rsidR="00A2525D" w:rsidRPr="00693625" w14:paraId="35368F6D" w14:textId="77777777" w:rsidTr="00C857EA">
        <w:trPr>
          <w:trHeight w:val="300"/>
        </w:trPr>
        <w:tc>
          <w:tcPr>
            <w:tcW w:w="1485" w:type="dxa"/>
            <w:vMerge w:val="restart"/>
            <w:tcBorders>
              <w:top w:val="nil"/>
              <w:left w:val="nil"/>
              <w:bottom w:val="single" w:sz="8" w:space="0" w:color="000000"/>
              <w:right w:val="nil"/>
            </w:tcBorders>
            <w:shd w:val="clear" w:color="auto" w:fill="auto"/>
            <w:noWrap/>
            <w:vAlign w:val="center"/>
            <w:hideMark/>
          </w:tcPr>
          <w:p w14:paraId="7F166F4C" w14:textId="77777777" w:rsidR="00A2525D" w:rsidRPr="00171EB8" w:rsidRDefault="00A2525D" w:rsidP="00C857EA">
            <w:pPr>
              <w:rPr>
                <w:rFonts w:cs="Arial"/>
                <w:color w:val="000000"/>
                <w:lang w:val="en"/>
              </w:rPr>
            </w:pPr>
            <w:proofErr w:type="spellStart"/>
            <w:r w:rsidRPr="00171EB8">
              <w:rPr>
                <w:rFonts w:cs="Arial"/>
                <w:color w:val="000000"/>
                <w:lang w:val="en"/>
              </w:rPr>
              <w:t>GNaCX</w:t>
            </w:r>
            <w:proofErr w:type="spellEnd"/>
          </w:p>
        </w:tc>
        <w:tc>
          <w:tcPr>
            <w:tcW w:w="2010" w:type="dxa"/>
            <w:tcBorders>
              <w:top w:val="nil"/>
              <w:left w:val="nil"/>
              <w:bottom w:val="nil"/>
              <w:right w:val="single" w:sz="8" w:space="0" w:color="auto"/>
            </w:tcBorders>
            <w:shd w:val="clear" w:color="auto" w:fill="auto"/>
            <w:noWrap/>
            <w:vAlign w:val="center"/>
            <w:hideMark/>
          </w:tcPr>
          <w:p w14:paraId="1AB8A56E" w14:textId="77777777" w:rsidR="00A2525D" w:rsidRPr="00171EB8" w:rsidRDefault="00A2525D" w:rsidP="00C857EA">
            <w:pPr>
              <w:jc w:val="center"/>
              <w:rPr>
                <w:rFonts w:cs="Arial"/>
                <w:color w:val="000000"/>
                <w:lang w:val="en"/>
              </w:rPr>
            </w:pPr>
            <w:r w:rsidRPr="00171EB8">
              <w:rPr>
                <w:rFonts w:cs="Arial"/>
                <w:color w:val="000000"/>
                <w:lang w:val="en"/>
              </w:rPr>
              <w:t>Hill Coeff.</w:t>
            </w:r>
          </w:p>
        </w:tc>
        <w:tc>
          <w:tcPr>
            <w:tcW w:w="5507" w:type="dxa"/>
            <w:tcBorders>
              <w:top w:val="nil"/>
              <w:left w:val="nil"/>
              <w:bottom w:val="nil"/>
              <w:right w:val="nil"/>
            </w:tcBorders>
            <w:shd w:val="clear" w:color="auto" w:fill="auto"/>
            <w:noWrap/>
            <w:vAlign w:val="bottom"/>
            <w:hideMark/>
          </w:tcPr>
          <w:p w14:paraId="38AF3950" w14:textId="77777777" w:rsidR="00A2525D" w:rsidRPr="00171EB8" w:rsidRDefault="00A2525D" w:rsidP="00C857EA">
            <w:pPr>
              <w:jc w:val="center"/>
              <w:rPr>
                <w:rFonts w:cs="Arial"/>
                <w:color w:val="000000"/>
                <w:lang w:val="en"/>
              </w:rPr>
            </w:pPr>
            <w:r w:rsidRPr="00693625">
              <w:rPr>
                <w:color w:val="000000"/>
                <w:lang w:val="en"/>
              </w:rPr>
              <w:t>1</w:t>
            </w:r>
          </w:p>
        </w:tc>
      </w:tr>
      <w:tr w:rsidR="00A2525D" w:rsidRPr="00693625" w14:paraId="540E01A1" w14:textId="77777777" w:rsidTr="00C857EA">
        <w:trPr>
          <w:trHeight w:val="320"/>
        </w:trPr>
        <w:tc>
          <w:tcPr>
            <w:tcW w:w="1485" w:type="dxa"/>
            <w:vMerge/>
            <w:tcBorders>
              <w:top w:val="nil"/>
              <w:left w:val="nil"/>
              <w:bottom w:val="single" w:sz="8" w:space="0" w:color="000000"/>
              <w:right w:val="nil"/>
            </w:tcBorders>
            <w:shd w:val="clear" w:color="auto" w:fill="auto"/>
            <w:vAlign w:val="center"/>
            <w:hideMark/>
          </w:tcPr>
          <w:p w14:paraId="09290884" w14:textId="77777777" w:rsidR="00A2525D" w:rsidRPr="00171EB8" w:rsidRDefault="00A2525D" w:rsidP="00C857EA">
            <w:pPr>
              <w:jc w:val="center"/>
              <w:rPr>
                <w:rFonts w:cs="Arial"/>
                <w:color w:val="000000"/>
                <w:lang w:val="en"/>
              </w:rPr>
            </w:pPr>
          </w:p>
        </w:tc>
        <w:tc>
          <w:tcPr>
            <w:tcW w:w="2010" w:type="dxa"/>
            <w:tcBorders>
              <w:top w:val="nil"/>
              <w:left w:val="nil"/>
              <w:bottom w:val="single" w:sz="8" w:space="0" w:color="auto"/>
              <w:right w:val="single" w:sz="8" w:space="0" w:color="auto"/>
            </w:tcBorders>
            <w:shd w:val="clear" w:color="auto" w:fill="auto"/>
            <w:noWrap/>
            <w:vAlign w:val="center"/>
            <w:hideMark/>
          </w:tcPr>
          <w:p w14:paraId="0638611C" w14:textId="77777777" w:rsidR="00A2525D" w:rsidRPr="00171EB8" w:rsidRDefault="00A2525D" w:rsidP="00C857EA">
            <w:pPr>
              <w:jc w:val="center"/>
              <w:rPr>
                <w:rFonts w:cs="Arial"/>
                <w:color w:val="000000"/>
                <w:lang w:val="en"/>
              </w:rPr>
            </w:pPr>
            <w:r w:rsidRPr="00171EB8">
              <w:rPr>
                <w:rFonts w:cs="Arial"/>
                <w:color w:val="000000"/>
                <w:lang w:val="en"/>
              </w:rPr>
              <w:t>IC50 (</w:t>
            </w:r>
            <w:r w:rsidRPr="00171EB8">
              <w:rPr>
                <w:rFonts w:cs="Arial"/>
                <w:color w:val="000000"/>
              </w:rPr>
              <w:t>μ</w:t>
            </w:r>
            <w:r w:rsidRPr="00171EB8">
              <w:rPr>
                <w:rFonts w:cs="Arial"/>
                <w:color w:val="000000"/>
                <w:lang w:val="en"/>
              </w:rPr>
              <w:t>M)</w:t>
            </w:r>
          </w:p>
        </w:tc>
        <w:tc>
          <w:tcPr>
            <w:tcW w:w="5507" w:type="dxa"/>
            <w:tcBorders>
              <w:top w:val="nil"/>
              <w:left w:val="nil"/>
              <w:bottom w:val="single" w:sz="8" w:space="0" w:color="auto"/>
              <w:right w:val="nil"/>
            </w:tcBorders>
            <w:shd w:val="clear" w:color="auto" w:fill="auto"/>
            <w:noWrap/>
            <w:vAlign w:val="bottom"/>
            <w:hideMark/>
          </w:tcPr>
          <w:p w14:paraId="3BF228A4" w14:textId="77777777" w:rsidR="00A2525D" w:rsidRPr="00171EB8" w:rsidRDefault="00A2525D" w:rsidP="00C857EA">
            <w:pPr>
              <w:jc w:val="center"/>
              <w:rPr>
                <w:rFonts w:cs="Arial"/>
                <w:color w:val="000000"/>
                <w:lang w:val="en"/>
              </w:rPr>
            </w:pPr>
            <w:r w:rsidRPr="00693625">
              <w:rPr>
                <w:rFonts w:ascii="DengXian" w:eastAsia="DengXian" w:hAnsi="DengXian" w:hint="eastAsia"/>
                <w:color w:val="000000"/>
                <w:lang w:val="en"/>
              </w:rPr>
              <w:t>∞</w:t>
            </w:r>
          </w:p>
        </w:tc>
      </w:tr>
      <w:tr w:rsidR="00A2525D" w:rsidRPr="00693625" w14:paraId="00C0D934" w14:textId="77777777" w:rsidTr="00C857EA">
        <w:trPr>
          <w:trHeight w:val="300"/>
        </w:trPr>
        <w:tc>
          <w:tcPr>
            <w:tcW w:w="1485" w:type="dxa"/>
            <w:vMerge w:val="restart"/>
            <w:tcBorders>
              <w:top w:val="nil"/>
              <w:left w:val="nil"/>
              <w:bottom w:val="single" w:sz="8" w:space="0" w:color="000000"/>
              <w:right w:val="nil"/>
            </w:tcBorders>
            <w:shd w:val="clear" w:color="auto" w:fill="auto"/>
            <w:noWrap/>
            <w:vAlign w:val="center"/>
            <w:hideMark/>
          </w:tcPr>
          <w:p w14:paraId="38616677" w14:textId="77777777" w:rsidR="00A2525D" w:rsidRPr="00171EB8" w:rsidRDefault="00A2525D" w:rsidP="00C857EA">
            <w:pPr>
              <w:rPr>
                <w:rFonts w:cs="Arial"/>
                <w:color w:val="000000"/>
                <w:lang w:val="en"/>
              </w:rPr>
            </w:pPr>
            <w:proofErr w:type="spellStart"/>
            <w:r w:rsidRPr="00171EB8">
              <w:rPr>
                <w:rFonts w:cs="Arial"/>
                <w:color w:val="000000"/>
                <w:lang w:val="en"/>
              </w:rPr>
              <w:t>GNaK</w:t>
            </w:r>
            <w:proofErr w:type="spellEnd"/>
          </w:p>
        </w:tc>
        <w:tc>
          <w:tcPr>
            <w:tcW w:w="2010" w:type="dxa"/>
            <w:tcBorders>
              <w:top w:val="nil"/>
              <w:left w:val="nil"/>
              <w:bottom w:val="nil"/>
              <w:right w:val="single" w:sz="8" w:space="0" w:color="auto"/>
            </w:tcBorders>
            <w:shd w:val="clear" w:color="auto" w:fill="auto"/>
            <w:noWrap/>
            <w:vAlign w:val="center"/>
            <w:hideMark/>
          </w:tcPr>
          <w:p w14:paraId="0BA4A911" w14:textId="77777777" w:rsidR="00A2525D" w:rsidRPr="00171EB8" w:rsidRDefault="00A2525D" w:rsidP="00C857EA">
            <w:pPr>
              <w:jc w:val="center"/>
              <w:rPr>
                <w:rFonts w:cs="Arial"/>
                <w:color w:val="000000"/>
                <w:lang w:val="en"/>
              </w:rPr>
            </w:pPr>
            <w:r w:rsidRPr="00171EB8">
              <w:rPr>
                <w:rFonts w:cs="Arial"/>
                <w:color w:val="000000"/>
                <w:lang w:val="en"/>
              </w:rPr>
              <w:t>Hill Coeff.</w:t>
            </w:r>
          </w:p>
        </w:tc>
        <w:tc>
          <w:tcPr>
            <w:tcW w:w="5507" w:type="dxa"/>
            <w:tcBorders>
              <w:top w:val="nil"/>
              <w:left w:val="nil"/>
              <w:bottom w:val="nil"/>
              <w:right w:val="nil"/>
            </w:tcBorders>
            <w:shd w:val="clear" w:color="auto" w:fill="auto"/>
            <w:noWrap/>
            <w:vAlign w:val="bottom"/>
            <w:hideMark/>
          </w:tcPr>
          <w:p w14:paraId="46F6AFBE" w14:textId="77777777" w:rsidR="00A2525D" w:rsidRPr="00171EB8" w:rsidRDefault="00A2525D" w:rsidP="00C857EA">
            <w:pPr>
              <w:jc w:val="center"/>
              <w:rPr>
                <w:rFonts w:cs="Arial"/>
                <w:color w:val="000000"/>
                <w:lang w:val="en"/>
              </w:rPr>
            </w:pPr>
            <w:r w:rsidRPr="00693625">
              <w:rPr>
                <w:color w:val="000000"/>
                <w:lang w:val="en"/>
              </w:rPr>
              <w:t>1</w:t>
            </w:r>
          </w:p>
        </w:tc>
      </w:tr>
      <w:tr w:rsidR="00A2525D" w:rsidRPr="00693625" w14:paraId="5DF6DAF2" w14:textId="77777777" w:rsidTr="00C857EA">
        <w:trPr>
          <w:trHeight w:val="320"/>
        </w:trPr>
        <w:tc>
          <w:tcPr>
            <w:tcW w:w="1485" w:type="dxa"/>
            <w:vMerge/>
            <w:tcBorders>
              <w:top w:val="nil"/>
              <w:left w:val="nil"/>
              <w:bottom w:val="single" w:sz="8" w:space="0" w:color="000000"/>
              <w:right w:val="nil"/>
            </w:tcBorders>
            <w:shd w:val="clear" w:color="auto" w:fill="auto"/>
            <w:vAlign w:val="center"/>
            <w:hideMark/>
          </w:tcPr>
          <w:p w14:paraId="015956D1" w14:textId="77777777" w:rsidR="00A2525D" w:rsidRPr="00171EB8" w:rsidRDefault="00A2525D" w:rsidP="00C857EA">
            <w:pPr>
              <w:jc w:val="center"/>
              <w:rPr>
                <w:rFonts w:cs="Arial"/>
                <w:color w:val="000000"/>
                <w:lang w:val="en"/>
              </w:rPr>
            </w:pPr>
          </w:p>
        </w:tc>
        <w:tc>
          <w:tcPr>
            <w:tcW w:w="2010" w:type="dxa"/>
            <w:tcBorders>
              <w:top w:val="nil"/>
              <w:left w:val="nil"/>
              <w:bottom w:val="single" w:sz="8" w:space="0" w:color="auto"/>
              <w:right w:val="single" w:sz="8" w:space="0" w:color="auto"/>
            </w:tcBorders>
            <w:shd w:val="clear" w:color="auto" w:fill="auto"/>
            <w:noWrap/>
            <w:vAlign w:val="center"/>
            <w:hideMark/>
          </w:tcPr>
          <w:p w14:paraId="5B6448DF" w14:textId="77777777" w:rsidR="00A2525D" w:rsidRPr="00171EB8" w:rsidRDefault="00A2525D" w:rsidP="00C857EA">
            <w:pPr>
              <w:jc w:val="center"/>
              <w:rPr>
                <w:rFonts w:cs="Arial"/>
                <w:color w:val="000000"/>
                <w:lang w:val="en"/>
              </w:rPr>
            </w:pPr>
            <w:r w:rsidRPr="00171EB8">
              <w:rPr>
                <w:rFonts w:cs="Arial"/>
                <w:color w:val="000000"/>
                <w:lang w:val="en"/>
              </w:rPr>
              <w:t>IC50 (</w:t>
            </w:r>
            <w:r w:rsidRPr="00171EB8">
              <w:rPr>
                <w:rFonts w:cs="Arial"/>
                <w:color w:val="000000"/>
              </w:rPr>
              <w:t>μ</w:t>
            </w:r>
            <w:r w:rsidRPr="00171EB8">
              <w:rPr>
                <w:rFonts w:cs="Arial"/>
                <w:color w:val="000000"/>
                <w:lang w:val="en"/>
              </w:rPr>
              <w:t>M)</w:t>
            </w:r>
          </w:p>
        </w:tc>
        <w:tc>
          <w:tcPr>
            <w:tcW w:w="5507" w:type="dxa"/>
            <w:tcBorders>
              <w:top w:val="nil"/>
              <w:left w:val="nil"/>
              <w:bottom w:val="single" w:sz="8" w:space="0" w:color="auto"/>
              <w:right w:val="nil"/>
            </w:tcBorders>
            <w:shd w:val="clear" w:color="auto" w:fill="auto"/>
            <w:noWrap/>
            <w:vAlign w:val="bottom"/>
            <w:hideMark/>
          </w:tcPr>
          <w:p w14:paraId="314C7A26" w14:textId="77777777" w:rsidR="00A2525D" w:rsidRPr="00171EB8" w:rsidRDefault="00A2525D" w:rsidP="00C857EA">
            <w:pPr>
              <w:jc w:val="center"/>
              <w:rPr>
                <w:rFonts w:cs="Arial"/>
                <w:color w:val="000000"/>
                <w:lang w:val="en"/>
              </w:rPr>
            </w:pPr>
            <w:r w:rsidRPr="00693625">
              <w:rPr>
                <w:rFonts w:ascii="DengXian" w:eastAsia="DengXian" w:hAnsi="DengXian" w:hint="eastAsia"/>
                <w:color w:val="000000"/>
                <w:lang w:val="en"/>
              </w:rPr>
              <w:t>∞</w:t>
            </w:r>
          </w:p>
        </w:tc>
      </w:tr>
      <w:tr w:rsidR="00A2525D" w:rsidRPr="00693625" w14:paraId="3A8E5C1F" w14:textId="77777777" w:rsidTr="00C857EA">
        <w:trPr>
          <w:trHeight w:val="300"/>
        </w:trPr>
        <w:tc>
          <w:tcPr>
            <w:tcW w:w="1485" w:type="dxa"/>
            <w:vMerge w:val="restart"/>
            <w:tcBorders>
              <w:top w:val="nil"/>
              <w:left w:val="nil"/>
              <w:bottom w:val="single" w:sz="8" w:space="0" w:color="000000"/>
              <w:right w:val="nil"/>
            </w:tcBorders>
            <w:shd w:val="clear" w:color="auto" w:fill="auto"/>
            <w:noWrap/>
            <w:vAlign w:val="center"/>
            <w:hideMark/>
          </w:tcPr>
          <w:p w14:paraId="623A5944" w14:textId="77777777" w:rsidR="00A2525D" w:rsidRPr="00171EB8" w:rsidRDefault="00A2525D" w:rsidP="00C857EA">
            <w:pPr>
              <w:rPr>
                <w:rFonts w:cs="Arial"/>
                <w:color w:val="000000"/>
                <w:lang w:val="en"/>
              </w:rPr>
            </w:pPr>
            <w:proofErr w:type="spellStart"/>
            <w:r w:rsidRPr="004A70AC">
              <w:rPr>
                <w:rFonts w:cs="Arial"/>
                <w:color w:val="FF0000"/>
                <w:lang w:val="en"/>
              </w:rPr>
              <w:t>GCaL</w:t>
            </w:r>
            <w:proofErr w:type="spellEnd"/>
          </w:p>
        </w:tc>
        <w:tc>
          <w:tcPr>
            <w:tcW w:w="2010" w:type="dxa"/>
            <w:tcBorders>
              <w:top w:val="nil"/>
              <w:left w:val="nil"/>
              <w:bottom w:val="nil"/>
              <w:right w:val="single" w:sz="8" w:space="0" w:color="auto"/>
            </w:tcBorders>
            <w:shd w:val="clear" w:color="auto" w:fill="auto"/>
            <w:noWrap/>
            <w:vAlign w:val="center"/>
            <w:hideMark/>
          </w:tcPr>
          <w:p w14:paraId="737F805C" w14:textId="77777777" w:rsidR="00A2525D" w:rsidRPr="00171EB8" w:rsidRDefault="00A2525D" w:rsidP="00C857EA">
            <w:pPr>
              <w:jc w:val="center"/>
              <w:rPr>
                <w:rFonts w:cs="Arial"/>
                <w:color w:val="000000"/>
                <w:lang w:val="en"/>
              </w:rPr>
            </w:pPr>
            <w:r w:rsidRPr="00171EB8">
              <w:rPr>
                <w:rFonts w:cs="Arial"/>
                <w:color w:val="000000"/>
                <w:lang w:val="en"/>
              </w:rPr>
              <w:t>Hill Coeff.</w:t>
            </w:r>
          </w:p>
        </w:tc>
        <w:tc>
          <w:tcPr>
            <w:tcW w:w="5507" w:type="dxa"/>
            <w:tcBorders>
              <w:top w:val="nil"/>
              <w:left w:val="nil"/>
              <w:bottom w:val="nil"/>
              <w:right w:val="nil"/>
            </w:tcBorders>
            <w:shd w:val="clear" w:color="auto" w:fill="auto"/>
            <w:noWrap/>
            <w:vAlign w:val="bottom"/>
            <w:hideMark/>
          </w:tcPr>
          <w:p w14:paraId="7D6C3085" w14:textId="77777777" w:rsidR="00A2525D" w:rsidRPr="00171EB8" w:rsidRDefault="00A2525D" w:rsidP="00C857EA">
            <w:pPr>
              <w:jc w:val="center"/>
              <w:rPr>
                <w:rFonts w:cs="Arial"/>
                <w:color w:val="000000"/>
                <w:lang w:val="en"/>
              </w:rPr>
            </w:pPr>
            <w:r w:rsidRPr="00693625">
              <w:rPr>
                <w:color w:val="000000"/>
                <w:lang w:val="en"/>
              </w:rPr>
              <w:t>1.3</w:t>
            </w:r>
          </w:p>
        </w:tc>
      </w:tr>
      <w:tr w:rsidR="00A2525D" w:rsidRPr="00693625" w14:paraId="70E877AD" w14:textId="77777777" w:rsidTr="00C857EA">
        <w:trPr>
          <w:trHeight w:val="320"/>
        </w:trPr>
        <w:tc>
          <w:tcPr>
            <w:tcW w:w="1485" w:type="dxa"/>
            <w:vMerge/>
            <w:tcBorders>
              <w:top w:val="nil"/>
              <w:left w:val="nil"/>
              <w:bottom w:val="single" w:sz="8" w:space="0" w:color="000000"/>
              <w:right w:val="nil"/>
            </w:tcBorders>
            <w:shd w:val="clear" w:color="auto" w:fill="auto"/>
            <w:vAlign w:val="center"/>
            <w:hideMark/>
          </w:tcPr>
          <w:p w14:paraId="0270EA35" w14:textId="77777777" w:rsidR="00A2525D" w:rsidRPr="00171EB8" w:rsidRDefault="00A2525D" w:rsidP="00C857EA">
            <w:pPr>
              <w:rPr>
                <w:rFonts w:cs="Arial"/>
                <w:color w:val="000000"/>
                <w:lang w:val="en"/>
              </w:rPr>
            </w:pPr>
          </w:p>
        </w:tc>
        <w:tc>
          <w:tcPr>
            <w:tcW w:w="2010" w:type="dxa"/>
            <w:tcBorders>
              <w:top w:val="nil"/>
              <w:left w:val="nil"/>
              <w:bottom w:val="single" w:sz="8" w:space="0" w:color="auto"/>
              <w:right w:val="single" w:sz="8" w:space="0" w:color="auto"/>
            </w:tcBorders>
            <w:shd w:val="clear" w:color="auto" w:fill="auto"/>
            <w:noWrap/>
            <w:vAlign w:val="center"/>
            <w:hideMark/>
          </w:tcPr>
          <w:p w14:paraId="40D597AB" w14:textId="77777777" w:rsidR="00A2525D" w:rsidRPr="00171EB8" w:rsidRDefault="00A2525D" w:rsidP="00C857EA">
            <w:pPr>
              <w:jc w:val="center"/>
              <w:rPr>
                <w:rFonts w:cs="Arial"/>
                <w:color w:val="000000"/>
                <w:lang w:val="en"/>
              </w:rPr>
            </w:pPr>
            <w:r w:rsidRPr="00171EB8">
              <w:rPr>
                <w:rFonts w:cs="Arial"/>
                <w:color w:val="000000"/>
                <w:lang w:val="en"/>
              </w:rPr>
              <w:t>IC50 (</w:t>
            </w:r>
            <w:r w:rsidRPr="00171EB8">
              <w:rPr>
                <w:rFonts w:cs="Arial"/>
                <w:color w:val="000000"/>
              </w:rPr>
              <w:t>μ</w:t>
            </w:r>
            <w:r w:rsidRPr="00171EB8">
              <w:rPr>
                <w:rFonts w:cs="Arial"/>
                <w:color w:val="000000"/>
                <w:lang w:val="en"/>
              </w:rPr>
              <w:t>M)</w:t>
            </w:r>
          </w:p>
        </w:tc>
        <w:tc>
          <w:tcPr>
            <w:tcW w:w="5507" w:type="dxa"/>
            <w:tcBorders>
              <w:top w:val="nil"/>
              <w:left w:val="nil"/>
              <w:bottom w:val="single" w:sz="8" w:space="0" w:color="auto"/>
              <w:right w:val="nil"/>
            </w:tcBorders>
            <w:shd w:val="clear" w:color="auto" w:fill="auto"/>
            <w:noWrap/>
            <w:vAlign w:val="bottom"/>
            <w:hideMark/>
          </w:tcPr>
          <w:p w14:paraId="5D285F9A" w14:textId="77777777" w:rsidR="00A2525D" w:rsidRPr="00171EB8" w:rsidRDefault="00A2525D" w:rsidP="00C857EA">
            <w:pPr>
              <w:jc w:val="center"/>
              <w:rPr>
                <w:rFonts w:cs="Arial"/>
                <w:color w:val="000000"/>
                <w:lang w:val="en"/>
              </w:rPr>
            </w:pPr>
            <w:r w:rsidRPr="00693625">
              <w:rPr>
                <w:color w:val="000000"/>
                <w:lang w:val="en"/>
              </w:rPr>
              <w:t>8.228</w:t>
            </w:r>
          </w:p>
        </w:tc>
      </w:tr>
      <w:tr w:rsidR="00A2525D" w:rsidRPr="00693625" w14:paraId="33F209EC" w14:textId="77777777" w:rsidTr="00C857EA">
        <w:trPr>
          <w:trHeight w:val="320"/>
        </w:trPr>
        <w:tc>
          <w:tcPr>
            <w:tcW w:w="349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14414CC" w14:textId="77777777" w:rsidR="00A2525D" w:rsidRPr="00171EB8" w:rsidRDefault="00A2525D" w:rsidP="00C857EA">
            <w:pPr>
              <w:jc w:val="center"/>
              <w:rPr>
                <w:rFonts w:cs="Arial"/>
                <w:color w:val="000000"/>
                <w:lang w:val="en"/>
              </w:rPr>
            </w:pPr>
            <w:proofErr w:type="spellStart"/>
            <w:r w:rsidRPr="00171EB8">
              <w:rPr>
                <w:rFonts w:cs="Arial"/>
                <w:color w:val="000000"/>
                <w:lang w:val="en"/>
              </w:rPr>
              <w:t>EFTPCmax</w:t>
            </w:r>
            <w:proofErr w:type="spellEnd"/>
            <w:r w:rsidRPr="00171EB8">
              <w:rPr>
                <w:rFonts w:cs="Arial"/>
                <w:color w:val="000000"/>
                <w:lang w:val="en"/>
              </w:rPr>
              <w:t xml:space="preserve"> (</w:t>
            </w:r>
            <w:r w:rsidRPr="00171EB8">
              <w:rPr>
                <w:rFonts w:cs="Arial"/>
                <w:color w:val="000000"/>
              </w:rPr>
              <w:t>μ</w:t>
            </w:r>
            <w:r w:rsidRPr="00171EB8">
              <w:rPr>
                <w:rFonts w:cs="Arial"/>
                <w:color w:val="000000"/>
                <w:lang w:val="en"/>
              </w:rPr>
              <w:t>M)</w:t>
            </w:r>
          </w:p>
        </w:tc>
        <w:tc>
          <w:tcPr>
            <w:tcW w:w="5507" w:type="dxa"/>
            <w:tcBorders>
              <w:top w:val="single" w:sz="8" w:space="0" w:color="auto"/>
              <w:left w:val="nil"/>
              <w:bottom w:val="single" w:sz="8" w:space="0" w:color="auto"/>
              <w:right w:val="nil"/>
            </w:tcBorders>
            <w:shd w:val="clear" w:color="auto" w:fill="auto"/>
            <w:noWrap/>
            <w:vAlign w:val="center"/>
            <w:hideMark/>
          </w:tcPr>
          <w:p w14:paraId="4BDE8DC8" w14:textId="77777777" w:rsidR="00A2525D" w:rsidRPr="00171EB8" w:rsidRDefault="00A2525D" w:rsidP="00C857EA">
            <w:pPr>
              <w:jc w:val="center"/>
              <w:rPr>
                <w:rFonts w:cs="Arial"/>
                <w:color w:val="000000"/>
                <w:lang w:val="en"/>
              </w:rPr>
            </w:pPr>
            <w:r>
              <w:rPr>
                <w:rFonts w:cs="Arial"/>
                <w:color w:val="000000"/>
                <w:lang w:val="en"/>
              </w:rPr>
              <w:t>0.4369</w:t>
            </w:r>
          </w:p>
        </w:tc>
      </w:tr>
    </w:tbl>
    <w:p w14:paraId="1CDC0881" w14:textId="77777777" w:rsidR="00A2525D" w:rsidRDefault="00A2525D" w:rsidP="00A2525D"/>
    <w:p w14:paraId="1F85FEAF" w14:textId="77777777" w:rsidR="00A2525D" w:rsidRDefault="00A2525D" w:rsidP="00A2525D"/>
    <w:p w14:paraId="72883AD7" w14:textId="77777777" w:rsidR="00A2525D" w:rsidRDefault="00A2525D" w:rsidP="00A2525D">
      <w:r>
        <w:t>For each of the ten models, the effect of Ritonavir was evaluated for four different concentrations: 1x, 2x, 10x, and 100x [EFTCP] (a total of 40 simulations). The stimulation protocol consisted of stimulating with a current 1.5x the stimulation threshold 500 times with a BCL=800ms and analyzing the last three beats. A pro-arrhythmic behavior was considered if alternans in the APD90 were observed, abnormal repolarizations appeared, or APD prolongation of more than 25% (with respect to control).</w:t>
      </w:r>
    </w:p>
    <w:p w14:paraId="6F463DF1" w14:textId="77777777" w:rsidR="00A2525D" w:rsidRDefault="00A2525D" w:rsidP="00A2525D"/>
    <w:p w14:paraId="472F1B2B" w14:textId="12DF637C" w:rsidR="00A2525D" w:rsidRDefault="00A2525D" w:rsidP="00A2525D"/>
    <w:sectPr w:rsidR="00A252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5D"/>
    <w:rsid w:val="00A2525D"/>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20FF7215"/>
  <w15:chartTrackingRefBased/>
  <w15:docId w15:val="{713FA44A-18C3-5141-B453-D1C2787B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 Charkas</dc:creator>
  <cp:keywords/>
  <dc:description/>
  <cp:lastModifiedBy>Saina Charkas</cp:lastModifiedBy>
  <cp:revision>1</cp:revision>
  <dcterms:created xsi:type="dcterms:W3CDTF">2023-05-04T11:20:00Z</dcterms:created>
  <dcterms:modified xsi:type="dcterms:W3CDTF">2023-05-04T11:45:00Z</dcterms:modified>
</cp:coreProperties>
</file>