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8B6F47"/>
          <w:sz w:val="36"/>
          <w:szCs w:val="36"/>
        </w:rPr>
        <w:t xml:space="preserve">NEW RECRUITER ONBOARDING PLAN</w:t>
      </w:r>
    </w:p>
    <w:p>
      <w:pPr>
        <w:pBdr>
          <w:bottom w:val="single" w:color="8B6F47" w:sz="6" w:space="2"/>
        </w:pBdr>
        <w:spacing w:after="40" w:before="0"/>
      </w:pPr>
      <w:r>
        <w:rPr>
          <w:rFonts w:ascii="Arial" w:cs="Arial" w:eastAsia="Arial" w:hAnsi="Arial"/>
          <w:i/>
          <w:iCs/>
          <w:color w:val="6B6560"/>
          <w:sz w:val="18"/>
          <w:szCs w:val="18"/>
        </w:rPr>
        <w:t xml:space="preserve">Talent Acquisition  |  Professional Development Framework</w:t>
      </w:r>
    </w:p>
    <w:p>
      <w:pPr>
        <w:spacing w:after="0" w:before="60"/>
      </w:pPr>
      <w:r>
        <w:t xml:space="preserve"/>
      </w:r>
    </w:p>
    <w:p>
      <w:pPr>
        <w:shd w:fill="EDE8DF" w:val="clear"/>
        <w:spacing w:after="80" w:before="80"/>
        <w:ind w:left="160" w:right="160"/>
      </w:pPr>
      <w:r>
        <w:rPr>
          <w:rFonts w:ascii="Arial" w:cs="Arial" w:eastAsia="Arial" w:hAnsi="Arial"/>
          <w:color w:val="1C1A17"/>
          <w:sz w:val="20"/>
          <w:szCs w:val="20"/>
        </w:rPr>
        <w:t xml:space="preserve">This plan is designed to set new recruiters up for success from day one. It combines structured live training sessions, self-directed learning, and key meet-and-greet introductions, phased across the first year to build capability progressively rather than all at once.</w:t>
      </w:r>
    </w:p>
    <w:p>
      <w:pPr>
        <w:spacing w:after="0" w:before="80"/>
      </w:pPr>
      <w:r>
        <w:t xml:space="preserve"/>
      </w:r>
    </w:p>
    <w:p>
      <w:pPr>
        <w:pBdr>
          <w:left w:val="single" w:color="C9A97A" w:sz="12" w:space="4"/>
        </w:pBdr>
        <w:shd w:fill="F7F4EF" w:val="clear"/>
        <w:spacing w:after="80" w:before="80"/>
        <w:ind w:left="240"/>
      </w:pPr>
      <w:r>
        <w:rPr>
          <w:rFonts w:ascii="Arial" w:cs="Arial" w:eastAsia="Arial" w:hAnsi="Arial"/>
          <w:i/>
          <w:iCs/>
          <w:color w:val="6B6560"/>
          <w:sz w:val="18"/>
          <w:szCs w:val="18"/>
        </w:rPr>
        <w:t xml:space="preserve">Not every section needs to be completed in exact order. Prioritize what you need to start recruiting effectively and revisit the rest as the role develops.</w:t>
      </w:r>
    </w:p>
    <w:p>
      <w:pPr>
        <w:spacing w:after="0" w:before="120"/>
      </w:pPr>
      <w:r>
        <w:t xml:space="preserve"/>
      </w:r>
    </w:p>
    <w:p>
      <w:pPr>
        <w:pBdr>
          <w:bottom w:val="single" w:color="8B6F47" w:sz="4" w:space="2"/>
        </w:pBdr>
        <w:spacing w:after="80" w:before="320"/>
      </w:pPr>
      <w:r>
        <w:rPr>
          <w:rFonts w:ascii="Arial" w:cs="Arial" w:eastAsia="Arial" w:hAnsi="Arial"/>
          <w:b/>
          <w:bCs/>
          <w:color w:val="8B6F47"/>
          <w:sz w:val="26"/>
          <w:szCs w:val="26"/>
        </w:rPr>
        <w:t xml:space="preserve">SECTION 1: LIVE TRAINING SESSIONS</w:t>
      </w:r>
    </w:p>
    <w:p>
      <w:pPr>
        <w:spacing w:after="60" w:before="6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The following sessions should be completed within the first two weeks and are designed to give new recruiters the foundational knowledge to begin working searches independently.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00"/>
        <w:gridCol w:w="2160"/>
      </w:tblGrid>
      <w:tr>
        <w:trPr>
          <w:tblHeader/>
        </w:trP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Training / Activity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Refresh Cadence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Recruiting Process Overview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1.5 hrs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Interview Structure &amp; Best Practices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Sourcing Fundamentals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1 hr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Every 2 months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Interview Coordination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1 hr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ATS Platform Training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1 hr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Every 2 months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Compensation &amp; Offer Frameworks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1 hr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Collaboration Tools (Teams, Slack, etc.)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Shared Drives &amp; Document Management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Offer Letters &amp; Approval Process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eSignature &amp; Documentation Tools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8B6F47" w:sz="4" w:space="2"/>
        </w:pBdr>
        <w:spacing w:after="80" w:before="320"/>
      </w:pPr>
      <w:r>
        <w:rPr>
          <w:rFonts w:ascii="Arial" w:cs="Arial" w:eastAsia="Arial" w:hAnsi="Arial"/>
          <w:b/>
          <w:bCs/>
          <w:color w:val="8B6F47"/>
          <w:sz w:val="26"/>
          <w:szCs w:val="26"/>
        </w:rPr>
        <w:t xml:space="preserve">SECTION 2: MEET &amp; GREET INTRODUCTIONS</w:t>
      </w:r>
    </w:p>
    <w:p>
      <w:pPr>
        <w:spacing w:after="60" w:before="6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Building relationships early is critical. Use these introductions to understand how each team contributes to the recruiting process and where you will intersect most frequently.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00"/>
        <w:gridCol w:w="2160"/>
      </w:tblGrid>
      <w:tr>
        <w:trPr>
          <w:tblHeader/>
        </w:trP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Training / Activity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Refresh Cadence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TA Team Introduction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HR Business Partners (relevant business groups)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Hiring Leaders in Key Practice Areas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 each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Sourcing Team Lead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Onboarding &amp; People Operations Team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8B6F47" w:sz="4" w:space="2"/>
        </w:pBdr>
        <w:spacing w:after="80" w:before="320"/>
      </w:pPr>
      <w:r>
        <w:rPr>
          <w:rFonts w:ascii="Arial" w:cs="Arial" w:eastAsia="Arial" w:hAnsi="Arial"/>
          <w:b/>
          <w:bCs/>
          <w:color w:val="8B6F47"/>
          <w:sz w:val="26"/>
          <w:szCs w:val="26"/>
        </w:rPr>
        <w:t xml:space="preserve">SECTION 3: SELF-STUDY MODULES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C1A17"/>
          <w:sz w:val="22"/>
          <w:szCs w:val="22"/>
        </w:rPr>
        <w:t xml:space="preserve">Complete Within First 2 Weeks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00"/>
        <w:gridCol w:w="2160"/>
      </w:tblGrid>
      <w:tr>
        <w:trPr>
          <w:tblHeader/>
        </w:trP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Training / Activity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Refresh Cadence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LinkedIn Recruiter: Core Features &amp; Search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45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Working with Staffing Vendors: Process Overview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Vendor Management: Implementation &amp; Guidelines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p>
      <w:pPr>
        <w:pBdr>
          <w:left w:val="single" w:color="C9A97A" w:sz="12" w:space="4"/>
        </w:pBdr>
        <w:shd w:fill="F7F4EF" w:val="clear"/>
        <w:spacing w:after="80" w:before="80"/>
        <w:ind w:left="240"/>
      </w:pPr>
      <w:r>
        <w:rPr>
          <w:rFonts w:ascii="Arial" w:cs="Arial" w:eastAsia="Arial" w:hAnsi="Arial"/>
          <w:i/>
          <w:iCs/>
          <w:color w:val="6B6560"/>
          <w:sz w:val="18"/>
          <w:szCs w:val="18"/>
        </w:rPr>
        <w:t xml:space="preserve">LinkedIn Learning and other self-paced platforms are recommended for all modules below. Choose courses that match the category — equivalents are acceptable where listed courses may be outdated.</w:t>
      </w:r>
    </w:p>
    <w:p>
      <w:pPr>
        <w:spacing w:after="0" w:before="10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C1A17"/>
          <w:sz w:val="22"/>
          <w:szCs w:val="22"/>
        </w:rPr>
        <w:t xml:space="preserve">Complete Within First Month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00"/>
        <w:gridCol w:w="2160"/>
      </w:tblGrid>
      <w:tr>
        <w:trPr>
          <w:tblHeader/>
        </w:trP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Training / Activity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Refresh Cadence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How to Be Successful in a TA Role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Managing Up &amp; Stakeholder Communication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Unconscious Bias in Hiring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45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Every 6 months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Immigration Basics for Recruiters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C1A17"/>
          <w:sz w:val="22"/>
          <w:szCs w:val="22"/>
        </w:rPr>
        <w:t xml:space="preserve">Complete Within First 3 Months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00"/>
        <w:gridCol w:w="2160"/>
      </w:tblGrid>
      <w:tr>
        <w:trPr>
          <w:tblHeader/>
        </w:trP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Training / Activity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Refresh Cadence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Recruiting Foundations (LinkedIn Learning)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1 hr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Technical Recruiting Basics (sections 2-5)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45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Employer Brand &amp; Social Recruiting for Recruiters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Talent Sourcing (LinkedIn Learning)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1 hr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Every 9 months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Interviewing Techniques for Recruiters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45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Every 9 months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Virtual Meeting Best Practices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20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Efficient Time Management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C1A17"/>
          <w:sz w:val="22"/>
          <w:szCs w:val="22"/>
        </w:rPr>
        <w:t xml:space="preserve">Complete Within First 6 Months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00"/>
        <w:gridCol w:w="2160"/>
      </w:tblGrid>
      <w:tr>
        <w:trPr>
          <w:tblHeader/>
        </w:trP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Training / Activity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Refresh Cadence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Interviewing a Job Candidate (Recruiter Perspective)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45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Niche Recruiting (sections 2 &amp; 4)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Introduction to People Leadership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Annually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Establishing a Mentor Relationship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Annually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Thriving in a Long-Term TA Career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6B656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Influencing Without Authority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Annually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C1A17"/>
          <w:sz w:val="22"/>
          <w:szCs w:val="22"/>
        </w:rPr>
        <w:t xml:space="preserve">Ongoing Development (Year 1 and Beyond)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00"/>
        <w:gridCol w:w="2160"/>
      </w:tblGrid>
      <w:tr>
        <w:trPr>
          <w:tblHeader/>
        </w:trP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Training / Activity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Refresh Cadence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Creating a Growth Mindset Through Feedback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Annually (prior to review period)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Advanced Sourcing Strategies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1 hr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Annually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Data &amp; Reporting for TA Leaders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45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Annually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AI Tools in Recruiting: Practical Applications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45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Every 6 months</w:t>
            </w:r>
          </w:p>
        </w:tc>
      </w:tr>
      <w:tr>
        <w:tc>
          <w:tcPr>
            <w:tcW w:type="dxa" w:w="52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Employer Brand &amp; Candidate Experience</w:t>
            </w:r>
          </w:p>
        </w:tc>
        <w:tc>
          <w:tcPr>
            <w:tcW w:type="dxa" w:w="20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560"/>
                <w:sz w:val="19"/>
                <w:szCs w:val="19"/>
              </w:rPr>
              <w:t xml:space="preserve">30 min</w:t>
            </w:r>
          </w:p>
        </w:tc>
        <w:tc>
          <w:tcPr>
            <w:tcW w:type="dxa" w:w="21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B6F47"/>
                <w:sz w:val="19"/>
                <w:szCs w:val="19"/>
              </w:rPr>
              <w:t xml:space="preserve">Annually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8B6F47" w:sz="4" w:space="2"/>
        </w:pBdr>
        <w:spacing w:after="80" w:before="320"/>
      </w:pPr>
      <w:r>
        <w:rPr>
          <w:rFonts w:ascii="Arial" w:cs="Arial" w:eastAsia="Arial" w:hAnsi="Arial"/>
          <w:b/>
          <w:bCs/>
          <w:color w:val="8B6F47"/>
          <w:sz w:val="26"/>
          <w:szCs w:val="26"/>
        </w:rPr>
        <w:t xml:space="preserve">SECTION 4: CORE TOOLS &amp; PLATFORMS</w:t>
      </w:r>
    </w:p>
    <w:p>
      <w:pPr>
        <w:spacing w:after="60" w:before="6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Get familiar with the following tools in your first two weeks. Your manager or team lead will provide login credentials and access during onboarding.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Tool / Resource</w:t>
            </w:r>
          </w:p>
        </w:tc>
        <w:tc>
          <w:tcPr>
            <w:tcW w:type="dxa" w:w="65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8B6F4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6F47"/>
                <w:sz w:val="19"/>
                <w:szCs w:val="19"/>
              </w:rPr>
              <w:t xml:space="preserve">ATS (Applicant Tracking System)</w:t>
            </w:r>
          </w:p>
        </w:tc>
        <w:tc>
          <w:tcPr>
            <w:tcW w:type="dxa" w:w="65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3A3632"/>
                <w:sz w:val="19"/>
                <w:szCs w:val="19"/>
              </w:rPr>
              <w:t xml:space="preserve">Primary system for managing requisitions, candidates, and pipeline tracking</w:t>
            </w:r>
          </w:p>
        </w:tc>
      </w:tr>
      <w:tr>
        <w:tc>
          <w:tcPr>
            <w:tcW w:type="dxa" w:w="28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6F47"/>
                <w:sz w:val="19"/>
                <w:szCs w:val="19"/>
              </w:rPr>
              <w:t xml:space="preserve">LinkedIn Recruiter</w:t>
            </w:r>
          </w:p>
        </w:tc>
        <w:tc>
          <w:tcPr>
            <w:tcW w:type="dxa" w:w="65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3A3632"/>
                <w:sz w:val="19"/>
                <w:szCs w:val="19"/>
              </w:rPr>
              <w:t xml:space="preserve">Sourcing, candidate outreach, and pipeline management</w:t>
            </w:r>
          </w:p>
        </w:tc>
      </w:tr>
      <w:tr>
        <w:tc>
          <w:tcPr>
            <w:tcW w:type="dxa" w:w="28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6F47"/>
                <w:sz w:val="19"/>
                <w:szCs w:val="19"/>
              </w:rPr>
              <w:t xml:space="preserve">CRM / Reporting Tool</w:t>
            </w:r>
          </w:p>
        </w:tc>
        <w:tc>
          <w:tcPr>
            <w:tcW w:type="dxa" w:w="65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3A3632"/>
                <w:sz w:val="19"/>
                <w:szCs w:val="19"/>
              </w:rPr>
              <w:t xml:space="preserve">Real-time reporting, hiring metrics, and pipeline dashboards</w:t>
            </w:r>
          </w:p>
        </w:tc>
      </w:tr>
      <w:tr>
        <w:tc>
          <w:tcPr>
            <w:tcW w:type="dxa" w:w="28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6F47"/>
                <w:sz w:val="19"/>
                <w:szCs w:val="19"/>
              </w:rPr>
              <w:t xml:space="preserve">Collaboration Tools</w:t>
            </w:r>
          </w:p>
        </w:tc>
        <w:tc>
          <w:tcPr>
            <w:tcW w:type="dxa" w:w="65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3A3632"/>
                <w:sz w:val="19"/>
                <w:szCs w:val="19"/>
              </w:rPr>
              <w:t xml:space="preserve">Team communication, meeting coordination, and async updates (e.g. Teams, Slack)</w:t>
            </w:r>
          </w:p>
        </w:tc>
      </w:tr>
      <w:tr>
        <w:tc>
          <w:tcPr>
            <w:tcW w:type="dxa" w:w="28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6F47"/>
                <w:sz w:val="19"/>
                <w:szCs w:val="19"/>
              </w:rPr>
              <w:t xml:space="preserve">Shared Drive / Document Hub</w:t>
            </w:r>
          </w:p>
        </w:tc>
        <w:tc>
          <w:tcPr>
            <w:tcW w:type="dxa" w:w="65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3A3632"/>
                <w:sz w:val="19"/>
                <w:szCs w:val="19"/>
              </w:rPr>
              <w:t xml:space="preserve">Training materials, offer letters, trackers, scheduling resources, and team templates</w:t>
            </w:r>
          </w:p>
        </w:tc>
      </w:tr>
      <w:tr>
        <w:tc>
          <w:tcPr>
            <w:tcW w:type="dxa" w:w="28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6F47"/>
                <w:sz w:val="19"/>
                <w:szCs w:val="19"/>
              </w:rPr>
              <w:t xml:space="preserve">eSignature Platform</w:t>
            </w:r>
          </w:p>
        </w:tc>
        <w:tc>
          <w:tcPr>
            <w:tcW w:type="dxa" w:w="65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3A3632"/>
                <w:sz w:val="19"/>
                <w:szCs w:val="19"/>
              </w:rPr>
              <w:t xml:space="preserve">Offer letter delivery and document execution</w:t>
            </w:r>
          </w:p>
        </w:tc>
      </w:tr>
      <w:tr>
        <w:tc>
          <w:tcPr>
            <w:tcW w:type="dxa" w:w="28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6F47"/>
                <w:sz w:val="19"/>
                <w:szCs w:val="19"/>
              </w:rPr>
              <w:t xml:space="preserve">Sourcing Research Tools</w:t>
            </w:r>
          </w:p>
        </w:tc>
        <w:tc>
          <w:tcPr>
            <w:tcW w:type="dxa" w:w="65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FFFFF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3A3632"/>
                <w:sz w:val="19"/>
                <w:szCs w:val="19"/>
              </w:rPr>
              <w:t xml:space="preserve">Competitor research, alternative title identification, Boolean string building (e.g. Owler, Enlighten Jobs)</w:t>
            </w:r>
          </w:p>
        </w:tc>
      </w:tr>
      <w:tr>
        <w:tc>
          <w:tcPr>
            <w:tcW w:type="dxa" w:w="280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6F47"/>
                <w:sz w:val="19"/>
                <w:szCs w:val="19"/>
              </w:rPr>
              <w:t xml:space="preserve">Learning Platform</w:t>
            </w:r>
          </w:p>
        </w:tc>
        <w:tc>
          <w:tcPr>
            <w:tcW w:type="dxa" w:w="6560"/>
            <w:tcBorders>
              <w:top w:val="single" w:color="D0C8BE" w:sz="1"/>
              <w:left w:val="single" w:color="D0C8BE" w:sz="1"/>
              <w:bottom w:val="single" w:color="D0C8BE" w:sz="1"/>
              <w:right w:val="single" w:color="D0C8BE" w:sz="1"/>
            </w:tcBorders>
            <w:shd w:fill="EDE8DF" w:val="clear"/>
            <w:tcMar>
              <w:top w:type="dxa" w:w="72"/>
              <w:left w:type="dxa" w:w="120"/>
              <w:bottom w:type="dxa" w:w="72"/>
              <w:right w:type="dxa" w:w="120"/>
            </w:tcMar>
          </w:tcPr>
          <w:p>
            <w:r>
              <w:rPr>
                <w:rFonts w:ascii="Arial" w:cs="Arial" w:eastAsia="Arial" w:hAnsi="Arial"/>
                <w:color w:val="3A3632"/>
                <w:sz w:val="19"/>
                <w:szCs w:val="19"/>
              </w:rPr>
              <w:t xml:space="preserve">Self-paced professional development (e.g. LinkedIn Learning)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8B6F47" w:sz="4" w:space="2"/>
        </w:pBdr>
        <w:spacing w:after="80" w:before="320"/>
      </w:pPr>
      <w:r>
        <w:rPr>
          <w:rFonts w:ascii="Arial" w:cs="Arial" w:eastAsia="Arial" w:hAnsi="Arial"/>
          <w:b/>
          <w:bCs/>
          <w:color w:val="8B6F47"/>
          <w:sz w:val="26"/>
          <w:szCs w:val="26"/>
        </w:rPr>
        <w:t xml:space="preserve">SECTION 5: STAYING CURRENT IN TALENT ACQUISITION</w:t>
      </w:r>
    </w:p>
    <w:p>
      <w:pPr>
        <w:spacing w:after="60" w:before="6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The best recruiters are curious ones. Set aside time each week to stay informed on trends, tools, and conversations happening in the TA space.</w:t>
      </w:r>
    </w:p>
    <w:p>
      <w:pPr>
        <w:spacing w:after="0" w:before="6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C1A17"/>
          <w:sz w:val="22"/>
          <w:szCs w:val="22"/>
        </w:rPr>
        <w:t xml:space="preserve">Recommended Blogs &amp; Publications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LinkedIn Talent Blog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ERE Media / ERE Daily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Recruiting Brainfood (newsletter)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SHRM: Talent Acquisition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Harvard Business Review (People &amp; Talent)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SmartRecruiters Blog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Recruiting Daily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PromptMates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HR Brew</w:t>
      </w:r>
    </w:p>
    <w:p>
      <w:pPr>
        <w:spacing w:after="0" w:before="8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C1A17"/>
          <w:sz w:val="22"/>
          <w:szCs w:val="22"/>
        </w:rPr>
        <w:t xml:space="preserve">Podcasts Worth Following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Talk Talent to 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HR Happy Hour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The Recruiting Animal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Hiring Success by SmartRecruiters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Hiring on All Cylinders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Talent Acquisition Leaders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HR Heretics</w:t>
      </w:r>
    </w:p>
    <w:p>
      <w:pPr>
        <w:spacing w:after="0" w:before="8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C1A17"/>
          <w:sz w:val="22"/>
          <w:szCs w:val="22"/>
        </w:rPr>
        <w:t xml:space="preserve">Communities &amp; Online Groups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Recruiting Operations Roundtable (Slack)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Talent Acquisition Professionals Directory (LinkedIn Group)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Women in Recruitment (LinkedIn Group)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Recruitment Innovation Exchange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Higher (Community for TA &amp; HR Leaders)</w:t>
      </w:r>
    </w:p>
    <w:p>
      <w:pPr>
        <w:spacing w:after="0" w:before="8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C1A17"/>
          <w:sz w:val="22"/>
          <w:szCs w:val="22"/>
        </w:rPr>
        <w:t xml:space="preserve">Sourcing-Specific Resources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SourceCon (articles and community)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Wizard Sourcer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Boolean Strings Blog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A3632"/>
          <w:sz w:val="20"/>
          <w:szCs w:val="20"/>
        </w:rPr>
        <w:t xml:space="preserve">LinkedIn Learning: Talent Sourcing Module</w:t>
      </w:r>
    </w:p>
    <w:p>
      <w:pPr>
        <w:spacing w:after="0" w:before="16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Andrea Cohen (Shulman)  |  linkedin.com/in/andreashulman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2026-05-29T12:04:53.512Z</dcterms:created>
  <dcterms:modified xsi:type="dcterms:W3CDTF">2026-05-29T12:04:53.524Z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