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CD6D3" w14:textId="77777777" w:rsidR="0050395A" w:rsidRPr="00DC59C1" w:rsidRDefault="003A3AD5">
      <w:pPr>
        <w:spacing w:after="120"/>
        <w:jc w:val="center"/>
        <w:rPr>
          <w:rFonts w:ascii="Cambria" w:eastAsia="Cambria" w:hAnsi="Cambria" w:cs="Cambria"/>
          <w:b/>
          <w:color w:val="385623" w:themeColor="accent6" w:themeShade="80"/>
          <w:sz w:val="48"/>
          <w:szCs w:val="48"/>
        </w:rPr>
      </w:pPr>
      <w:r w:rsidRPr="00DC59C1">
        <w:rPr>
          <w:rFonts w:ascii="Cambria" w:eastAsia="Cambria" w:hAnsi="Cambria" w:cs="Cambria"/>
          <w:b/>
          <w:color w:val="385623" w:themeColor="accent6" w:themeShade="80"/>
          <w:sz w:val="48"/>
          <w:szCs w:val="48"/>
        </w:rPr>
        <w:t>Hunting for Smiles</w:t>
      </w:r>
    </w:p>
    <w:p w14:paraId="4EEA3032" w14:textId="77777777" w:rsidR="0050395A" w:rsidRDefault="003A3AD5">
      <w:pPr>
        <w:spacing w:after="360"/>
        <w:jc w:val="center"/>
        <w:rPr>
          <w:rFonts w:ascii="Cambria" w:eastAsia="Cambria" w:hAnsi="Cambria" w:cs="Cambria"/>
          <w:b/>
          <w:sz w:val="48"/>
          <w:szCs w:val="48"/>
        </w:rPr>
      </w:pPr>
      <w:r>
        <w:rPr>
          <w:rFonts w:ascii="Cambria" w:eastAsia="Cambria" w:hAnsi="Cambria" w:cs="Cambria"/>
          <w:sz w:val="24"/>
          <w:szCs w:val="24"/>
        </w:rPr>
        <w:t>An Assignment by Group 1</w:t>
      </w:r>
    </w:p>
    <w:p w14:paraId="0947DC50" w14:textId="77777777" w:rsidR="0050395A" w:rsidRPr="00DC59C1" w:rsidRDefault="003A3AD5">
      <w:pPr>
        <w:tabs>
          <w:tab w:val="center" w:pos="4770"/>
          <w:tab w:val="right" w:pos="9630"/>
        </w:tabs>
        <w:spacing w:after="120"/>
        <w:jc w:val="center"/>
        <w:rPr>
          <w:rFonts w:ascii="Cambria" w:eastAsia="Cambria" w:hAnsi="Cambria" w:cs="Cambria"/>
          <w:sz w:val="32"/>
          <w:szCs w:val="32"/>
          <w:lang w:val="it-IT"/>
        </w:rPr>
      </w:pPr>
      <w:r w:rsidRPr="00DC59C1">
        <w:rPr>
          <w:rFonts w:ascii="Cambria" w:eastAsia="Cambria" w:hAnsi="Cambria" w:cs="Cambria"/>
          <w:sz w:val="32"/>
          <w:szCs w:val="32"/>
          <w:lang w:val="it-IT"/>
        </w:rPr>
        <w:t>Francesco Baiano</w:t>
      </w:r>
      <w:r w:rsidRPr="00DC59C1">
        <w:rPr>
          <w:rFonts w:ascii="Cambria" w:eastAsia="Cambria" w:hAnsi="Cambria" w:cs="Cambria"/>
          <w:sz w:val="32"/>
          <w:szCs w:val="32"/>
          <w:lang w:val="it-IT"/>
        </w:rPr>
        <w:tab/>
        <w:t>Leonardo Baldassarri</w:t>
      </w:r>
      <w:r w:rsidRPr="00DC59C1">
        <w:rPr>
          <w:rFonts w:ascii="Cambria" w:eastAsia="Cambria" w:hAnsi="Cambria" w:cs="Cambria"/>
          <w:sz w:val="32"/>
          <w:szCs w:val="32"/>
          <w:lang w:val="it-IT"/>
        </w:rPr>
        <w:tab/>
        <w:t>Mattia Chiappari</w:t>
      </w:r>
    </w:p>
    <w:p w14:paraId="24DB9CFD" w14:textId="77777777" w:rsidR="0050395A" w:rsidRPr="00DC59C1" w:rsidRDefault="003A3AD5">
      <w:pPr>
        <w:tabs>
          <w:tab w:val="center" w:pos="4770"/>
          <w:tab w:val="right" w:pos="9630"/>
        </w:tabs>
        <w:spacing w:after="960"/>
        <w:jc w:val="center"/>
        <w:rPr>
          <w:rFonts w:ascii="Cambria" w:eastAsia="Cambria" w:hAnsi="Cambria" w:cs="Cambria"/>
          <w:sz w:val="32"/>
          <w:szCs w:val="32"/>
          <w:lang w:val="it-IT"/>
        </w:rPr>
      </w:pPr>
      <w:r w:rsidRPr="00DC59C1">
        <w:rPr>
          <w:rFonts w:ascii="Cambria" w:eastAsia="Cambria" w:hAnsi="Cambria" w:cs="Cambria"/>
          <w:sz w:val="32"/>
          <w:szCs w:val="32"/>
          <w:lang w:val="it-IT"/>
        </w:rPr>
        <w:t>Andrea Maccarrone</w:t>
      </w:r>
      <w:r w:rsidRPr="00DC59C1">
        <w:rPr>
          <w:rFonts w:ascii="Cambria" w:eastAsia="Cambria" w:hAnsi="Cambria" w:cs="Cambria"/>
          <w:sz w:val="32"/>
          <w:szCs w:val="32"/>
          <w:lang w:val="it-IT"/>
        </w:rPr>
        <w:tab/>
        <w:t>Hugo Paolini</w:t>
      </w:r>
      <w:r w:rsidRPr="00DC59C1">
        <w:rPr>
          <w:rFonts w:ascii="Cambria" w:eastAsia="Cambria" w:hAnsi="Cambria" w:cs="Cambria"/>
          <w:sz w:val="32"/>
          <w:szCs w:val="32"/>
          <w:lang w:val="it-IT"/>
        </w:rPr>
        <w:tab/>
        <w:t>Gianluca Regoli</w:t>
      </w:r>
    </w:p>
    <w:p w14:paraId="18226B08" w14:textId="77777777" w:rsidR="0050395A" w:rsidRPr="007E66BF" w:rsidRDefault="003A3AD5">
      <w:pPr>
        <w:tabs>
          <w:tab w:val="right" w:pos="9630"/>
        </w:tabs>
        <w:spacing w:after="120"/>
        <w:jc w:val="both"/>
        <w:rPr>
          <w:rFonts w:ascii="Cambria" w:eastAsia="Cambria" w:hAnsi="Cambria" w:cs="Cambria"/>
          <w:b/>
          <w:color w:val="385623" w:themeColor="accent6" w:themeShade="80"/>
          <w:sz w:val="32"/>
          <w:szCs w:val="32"/>
        </w:rPr>
      </w:pPr>
      <w:r w:rsidRPr="007E66BF">
        <w:rPr>
          <w:rFonts w:ascii="Cambria" w:eastAsia="Cambria" w:hAnsi="Cambria" w:cs="Cambria"/>
          <w:b/>
          <w:color w:val="385623" w:themeColor="accent6" w:themeShade="80"/>
          <w:sz w:val="32"/>
          <w:szCs w:val="32"/>
        </w:rPr>
        <w:t>Introduction to the Volatility Anomaly</w:t>
      </w:r>
    </w:p>
    <w:p w14:paraId="7B70D291" w14:textId="77777777" w:rsidR="0050395A" w:rsidRDefault="003A3AD5">
      <w:pPr>
        <w:tabs>
          <w:tab w:val="right" w:pos="9630"/>
        </w:tabs>
        <w:spacing w:after="0"/>
        <w:jc w:val="both"/>
        <w:rPr>
          <w:rFonts w:ascii="Cambria" w:eastAsia="Cambria" w:hAnsi="Cambria" w:cs="Cambria"/>
        </w:rPr>
      </w:pPr>
      <w:r>
        <w:rPr>
          <w:rFonts w:ascii="Cambria" w:eastAsia="Cambria" w:hAnsi="Cambria" w:cs="Cambria"/>
        </w:rPr>
        <w:t xml:space="preserve">When people think of option prices, it is almost impossible to disentangle them from the famous model developed in 1973 by Fischer Black, Robert </w:t>
      </w:r>
      <w:proofErr w:type="gramStart"/>
      <w:r>
        <w:rPr>
          <w:rFonts w:ascii="Cambria" w:eastAsia="Cambria" w:hAnsi="Cambria" w:cs="Cambria"/>
        </w:rPr>
        <w:t>Merton</w:t>
      </w:r>
      <w:proofErr w:type="gramEnd"/>
      <w:r>
        <w:rPr>
          <w:rFonts w:ascii="Cambria" w:eastAsia="Cambria" w:hAnsi="Cambria" w:cs="Cambria"/>
        </w:rPr>
        <w:t xml:space="preserve"> and Myron Scholes (BMS from now onwards).</w:t>
      </w:r>
    </w:p>
    <w:p w14:paraId="324AFB83" w14:textId="77777777" w:rsidR="0050395A" w:rsidRDefault="003A3AD5">
      <w:pPr>
        <w:tabs>
          <w:tab w:val="right" w:pos="9630"/>
        </w:tabs>
        <w:spacing w:after="0"/>
        <w:jc w:val="both"/>
        <w:rPr>
          <w:rFonts w:ascii="Cambria" w:eastAsia="Cambria" w:hAnsi="Cambria" w:cs="Cambria"/>
        </w:rPr>
      </w:pPr>
      <w:r>
        <w:rPr>
          <w:rFonts w:ascii="Cambria" w:eastAsia="Cambria" w:hAnsi="Cambria" w:cs="Cambria"/>
        </w:rPr>
        <w:t>The model derives the price of European options written on an underlying asset whose price follows a lognormal distribution. It only requires a few inputs: the current asset price (S), the strike price (K), a suitable continuously compounded risk-free rate (r), the option maturity (T), the diffusion parameter or volatility (σ) of the asset return process and, if the underlying pays dividends (or any type of intermediate flows), a continuous dividend yield (q).</w:t>
      </w:r>
    </w:p>
    <w:p w14:paraId="019FADBB" w14:textId="77777777" w:rsidR="0050395A" w:rsidRDefault="003A3AD5">
      <w:pPr>
        <w:tabs>
          <w:tab w:val="right" w:pos="9630"/>
        </w:tabs>
        <w:spacing w:after="0"/>
        <w:jc w:val="both"/>
        <w:rPr>
          <w:rFonts w:ascii="Cambria" w:eastAsia="Cambria" w:hAnsi="Cambria" w:cs="Cambria"/>
        </w:rPr>
      </w:pPr>
      <w:r>
        <w:rPr>
          <w:rFonts w:ascii="Cambria" w:eastAsia="Cambria" w:hAnsi="Cambria" w:cs="Cambria"/>
        </w:rPr>
        <w:t>Some parameters are straightforward (S can be easily found in the market for quoted companies, K and T are agreed upon by the two counterparties taking part in the trade or set by market conventions for standardized derivatives), other might require a little bit of engineering (r and q are estimated through their discrete-time form and then converted in continuous-time quantities), but the process is quite simple in principle. As to σ, since the BMS formula cannot be inverted analytically to get its explicit expression, it is reverse-engineered from market quotes of option prices through an iterative algorithm.</w:t>
      </w:r>
    </w:p>
    <w:p w14:paraId="65D889F1" w14:textId="4EB6EF80" w:rsidR="0050395A" w:rsidRDefault="003A3AD5">
      <w:pPr>
        <w:tabs>
          <w:tab w:val="right" w:pos="9630"/>
        </w:tabs>
        <w:spacing w:after="0"/>
        <w:jc w:val="both"/>
        <w:rPr>
          <w:rFonts w:ascii="Cambria" w:eastAsia="Cambria" w:hAnsi="Cambria" w:cs="Cambria"/>
        </w:rPr>
      </w:pPr>
      <w:bookmarkStart w:id="0" w:name="_heading=h.gjdgxs" w:colFirst="0" w:colLast="0"/>
      <w:bookmarkEnd w:id="0"/>
      <w:r>
        <w:rPr>
          <w:rFonts w:ascii="Cambria" w:eastAsia="Cambria" w:hAnsi="Cambria" w:cs="Cambria"/>
        </w:rPr>
        <w:t>Two considerations are necessary here. First, the option price is an increasing function of the volatility (and vice-versa), in fact a higher variance of the underlying asset price increases the time value of the derivative without creating additional risk because of the exercise optionality (the maximum loss in a long position is the premium). Second, for each maturity a unique value of the volatility should be found since the parameter is constant and independent of the other parameters according to the BMS framework. However, in</w:t>
      </w:r>
      <w:r w:rsidR="002E26D6">
        <w:rPr>
          <w:rFonts w:ascii="Cambria" w:eastAsia="Cambria" w:hAnsi="Cambria" w:cs="Cambria"/>
        </w:rPr>
        <w:t xml:space="preserve"> market</w:t>
      </w:r>
      <w:r w:rsidR="00CC73F3">
        <w:rPr>
          <w:rFonts w:ascii="Cambria" w:eastAsia="Cambria" w:hAnsi="Cambria" w:cs="Cambria"/>
        </w:rPr>
        <w:t xml:space="preserve"> quotes</w:t>
      </w:r>
      <w:r>
        <w:rPr>
          <w:rFonts w:ascii="Cambria" w:eastAsia="Cambria" w:hAnsi="Cambria" w:cs="Cambria"/>
        </w:rPr>
        <w:t xml:space="preserve">, something different happens: σ is dependent on the strike price and it presents a quite recurrent pattern, the so-called </w:t>
      </w:r>
      <w:r>
        <w:rPr>
          <w:rFonts w:ascii="Cambria" w:eastAsia="Cambria" w:hAnsi="Cambria" w:cs="Cambria"/>
          <w:i/>
        </w:rPr>
        <w:t>smile</w:t>
      </w:r>
      <w:r>
        <w:rPr>
          <w:rFonts w:ascii="Cambria" w:eastAsia="Cambria" w:hAnsi="Cambria" w:cs="Cambria"/>
        </w:rPr>
        <w:t xml:space="preserve"> or </w:t>
      </w:r>
      <w:r>
        <w:rPr>
          <w:rFonts w:ascii="Cambria" w:eastAsia="Cambria" w:hAnsi="Cambria" w:cs="Cambria"/>
          <w:i/>
        </w:rPr>
        <w:t xml:space="preserve">skew </w:t>
      </w:r>
      <w:r>
        <w:rPr>
          <w:rFonts w:ascii="Cambria" w:eastAsia="Cambria" w:hAnsi="Cambria" w:cs="Cambria"/>
        </w:rPr>
        <w:t>of the volatility surface.</w:t>
      </w:r>
      <w:r>
        <w:rPr>
          <w:noProof/>
        </w:rPr>
        <w:drawing>
          <wp:anchor distT="0" distB="0" distL="114300" distR="114300" simplePos="0" relativeHeight="251658240" behindDoc="0" locked="0" layoutInCell="1" hidden="0" allowOverlap="1" wp14:anchorId="3289CBC4" wp14:editId="305DD22F">
            <wp:simplePos x="0" y="0"/>
            <wp:positionH relativeFrom="column">
              <wp:posOffset>2426970</wp:posOffset>
            </wp:positionH>
            <wp:positionV relativeFrom="paragraph">
              <wp:posOffset>727710</wp:posOffset>
            </wp:positionV>
            <wp:extent cx="3680460" cy="2232660"/>
            <wp:effectExtent l="0" t="0" r="0" b="0"/>
            <wp:wrapSquare wrapText="bothSides" distT="0" distB="0" distL="114300" distR="1143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anchor>
        </w:drawing>
      </w:r>
    </w:p>
    <w:p w14:paraId="3F30C66F" w14:textId="5B0EF244" w:rsidR="0050395A" w:rsidRDefault="004A4EC3">
      <w:pPr>
        <w:widowControl w:val="0"/>
        <w:tabs>
          <w:tab w:val="right" w:pos="9630"/>
        </w:tabs>
        <w:spacing w:after="240"/>
        <w:jc w:val="both"/>
        <w:rPr>
          <w:rFonts w:ascii="Cambria" w:eastAsia="Cambria" w:hAnsi="Cambria" w:cs="Cambria"/>
        </w:rPr>
      </w:pPr>
      <w:r>
        <w:rPr>
          <w:noProof/>
        </w:rPr>
        <mc:AlternateContent>
          <mc:Choice Requires="wps">
            <w:drawing>
              <wp:anchor distT="0" distB="0" distL="114300" distR="114300" simplePos="0" relativeHeight="251669504" behindDoc="0" locked="0" layoutInCell="1" allowOverlap="1" wp14:anchorId="2CBC467D" wp14:editId="29CBAEA9">
                <wp:simplePos x="0" y="0"/>
                <wp:positionH relativeFrom="column">
                  <wp:posOffset>2426970</wp:posOffset>
                </wp:positionH>
                <wp:positionV relativeFrom="paragraph">
                  <wp:posOffset>898525</wp:posOffset>
                </wp:positionV>
                <wp:extent cx="3680460" cy="16002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80460" cy="160020"/>
                        </a:xfrm>
                        <a:prstGeom prst="rect">
                          <a:avLst/>
                        </a:prstGeom>
                        <a:solidFill>
                          <a:prstClr val="white"/>
                        </a:solidFill>
                        <a:ln>
                          <a:noFill/>
                        </a:ln>
                      </wps:spPr>
                      <wps:txbx>
                        <w:txbxContent>
                          <w:p w14:paraId="79F9F2DD" w14:textId="5216DF38" w:rsidR="004A4EC3" w:rsidRPr="0049037E" w:rsidRDefault="004A4EC3" w:rsidP="004A4EC3">
                            <w:pPr>
                              <w:pStyle w:val="Caption"/>
                              <w:rPr>
                                <w:rFonts w:ascii="Cambria" w:eastAsia="Cambria" w:hAnsi="Cambria" w:cs="Cambria"/>
                              </w:rPr>
                            </w:pPr>
                            <w:r w:rsidRPr="0049037E">
                              <w:rPr>
                                <w:rFonts w:ascii="Cambria" w:hAnsi="Cambria"/>
                              </w:rPr>
                              <w:t xml:space="preserve">Figure </w:t>
                            </w:r>
                            <w:r w:rsidR="00D10AA4" w:rsidRPr="0049037E">
                              <w:rPr>
                                <w:rFonts w:ascii="Cambria" w:hAnsi="Cambria"/>
                              </w:rPr>
                              <w:fldChar w:fldCharType="begin"/>
                            </w:r>
                            <w:r w:rsidR="00D10AA4" w:rsidRPr="0049037E">
                              <w:rPr>
                                <w:rFonts w:ascii="Cambria" w:hAnsi="Cambria"/>
                              </w:rPr>
                              <w:instrText xml:space="preserve"> SEQ Figure \* ARABIC </w:instrText>
                            </w:r>
                            <w:r w:rsidR="00D10AA4" w:rsidRPr="0049037E">
                              <w:rPr>
                                <w:rFonts w:ascii="Cambria" w:hAnsi="Cambria"/>
                              </w:rPr>
                              <w:fldChar w:fldCharType="separate"/>
                            </w:r>
                            <w:r w:rsidR="00F22FDC" w:rsidRPr="0049037E">
                              <w:rPr>
                                <w:rFonts w:ascii="Cambria" w:hAnsi="Cambria"/>
                                <w:noProof/>
                              </w:rPr>
                              <w:t>1</w:t>
                            </w:r>
                            <w:r w:rsidR="00D10AA4" w:rsidRPr="0049037E">
                              <w:rPr>
                                <w:rFonts w:ascii="Cambria" w:hAnsi="Cambria"/>
                                <w:noProof/>
                              </w:rPr>
                              <w:fldChar w:fldCharType="end"/>
                            </w:r>
                            <w:r w:rsidRPr="0049037E">
                              <w:rPr>
                                <w:rFonts w:ascii="Cambria" w:hAnsi="Cambria"/>
                              </w:rPr>
                              <w:t xml:space="preserve"> - Implied volatility surface for S&amp;P 500 options on Nov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BC467D" id="_x0000_t202" coordsize="21600,21600" o:spt="202" path="m,l,21600r21600,l21600,xe">
                <v:stroke joinstyle="miter"/>
                <v:path gradientshapeok="t" o:connecttype="rect"/>
              </v:shapetype>
              <v:shape id="Text Box 11" o:spid="_x0000_s1026" type="#_x0000_t202" style="position:absolute;left:0;text-align:left;margin-left:191.1pt;margin-top:70.75pt;width:289.8pt;height:12.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" stroked="f">
                <v:textbox inset="0,0,0,0">
                  <w:txbxContent>
                    <w:p w14:paraId="79F9F2DD" w14:textId="5216DF38" w:rsidR="004A4EC3" w:rsidRPr="0049037E" w:rsidRDefault="004A4EC3" w:rsidP="004A4EC3">
                      <w:pPr>
                        <w:pStyle w:val="Caption"/>
                        <w:rPr>
                          <w:rFonts w:ascii="Cambria" w:eastAsia="Cambria" w:hAnsi="Cambria" w:cs="Cambria"/>
                        </w:rPr>
                      </w:pPr>
                      <w:r w:rsidRPr="0049037E">
                        <w:rPr>
                          <w:rFonts w:ascii="Cambria" w:hAnsi="Cambria"/>
                        </w:rPr>
                        <w:t xml:space="preserve">Figure </w:t>
                      </w:r>
                      <w:r w:rsidR="00D10AA4" w:rsidRPr="0049037E">
                        <w:rPr>
                          <w:rFonts w:ascii="Cambria" w:hAnsi="Cambria"/>
                        </w:rPr>
                        <w:fldChar w:fldCharType="begin"/>
                      </w:r>
                      <w:r w:rsidR="00D10AA4" w:rsidRPr="0049037E">
                        <w:rPr>
                          <w:rFonts w:ascii="Cambria" w:hAnsi="Cambria"/>
                        </w:rPr>
                        <w:instrText xml:space="preserve"> SEQ Figure \* ARABIC </w:instrText>
                      </w:r>
                      <w:r w:rsidR="00D10AA4" w:rsidRPr="0049037E">
                        <w:rPr>
                          <w:rFonts w:ascii="Cambria" w:hAnsi="Cambria"/>
                        </w:rPr>
                        <w:fldChar w:fldCharType="separate"/>
                      </w:r>
                      <w:r w:rsidR="00F22FDC" w:rsidRPr="0049037E">
                        <w:rPr>
                          <w:rFonts w:ascii="Cambria" w:hAnsi="Cambria"/>
                          <w:noProof/>
                        </w:rPr>
                        <w:t>1</w:t>
                      </w:r>
                      <w:r w:rsidR="00D10AA4" w:rsidRPr="0049037E">
                        <w:rPr>
                          <w:rFonts w:ascii="Cambria" w:hAnsi="Cambria"/>
                          <w:noProof/>
                        </w:rPr>
                        <w:fldChar w:fldCharType="end"/>
                      </w:r>
                      <w:r w:rsidRPr="0049037E">
                        <w:rPr>
                          <w:rFonts w:ascii="Cambria" w:hAnsi="Cambria"/>
                        </w:rPr>
                        <w:t xml:space="preserve"> - Implied volatility surface for S&amp;P 500 options on Nov 18</w:t>
                      </w:r>
                    </w:p>
                  </w:txbxContent>
                </v:textbox>
                <w10:wrap type="square"/>
              </v:shape>
            </w:pict>
          </mc:Fallback>
        </mc:AlternateContent>
      </w:r>
      <w:r w:rsidR="003A3AD5">
        <w:rPr>
          <w:rFonts w:ascii="Cambria" w:eastAsia="Cambria" w:hAnsi="Cambria" w:cs="Cambria"/>
        </w:rPr>
        <w:t xml:space="preserve">This phenomenon is verified in all asset classes options (smiles are frequent for currency and interest rates options, skews for equity index and bond options) and several explanations have been pointed out, without any agreed-upon conclusion reached. Some cite the concern that </w:t>
      </w:r>
      <w:r w:rsidR="003A3AD5">
        <w:rPr>
          <w:rFonts w:ascii="Cambria" w:eastAsia="Cambria" w:hAnsi="Cambria" w:cs="Cambria"/>
          <w:i/>
        </w:rPr>
        <w:t>lognormal asset</w:t>
      </w:r>
      <w:r w:rsidR="003A3AD5">
        <w:rPr>
          <w:rFonts w:ascii="Cambria" w:eastAsia="Cambria" w:hAnsi="Cambria" w:cs="Cambria"/>
        </w:rPr>
        <w:t xml:space="preserve"> is a too gentle description for some instruments, for example historical distributions of stock (log-)returns usually show negative skewness and positive excess kurtosis. Others mention a sort of fear lingering after the 1987 crash (when this phenomenon started to be verified), for which market participants are willing to inflate the prices of OTM options to avoid bearing large losses. Finally, a few quote the </w:t>
      </w:r>
      <w:r w:rsidR="003A3AD5">
        <w:rPr>
          <w:rFonts w:ascii="Cambria" w:eastAsia="Cambria" w:hAnsi="Cambria" w:cs="Cambria"/>
          <w:i/>
        </w:rPr>
        <w:t>leverage effect</w:t>
      </w:r>
      <w:r w:rsidR="003A3AD5">
        <w:rPr>
          <w:rFonts w:ascii="Cambria" w:eastAsia="Cambria" w:hAnsi="Cambria" w:cs="Cambria"/>
        </w:rPr>
        <w:t>, which justifies an increase in equity volatility when stocks experience large drops and company leverage increases.</w:t>
      </w:r>
    </w:p>
    <w:p w14:paraId="4D395422" w14:textId="77777777" w:rsidR="0050395A" w:rsidRPr="007E66BF" w:rsidRDefault="003A3AD5">
      <w:pPr>
        <w:widowControl w:val="0"/>
        <w:tabs>
          <w:tab w:val="right" w:pos="9630"/>
        </w:tabs>
        <w:spacing w:after="120"/>
        <w:jc w:val="both"/>
        <w:rPr>
          <w:rFonts w:ascii="Cambria" w:eastAsia="Cambria" w:hAnsi="Cambria" w:cs="Cambria"/>
          <w:b/>
          <w:color w:val="385623" w:themeColor="accent6" w:themeShade="80"/>
          <w:sz w:val="32"/>
          <w:szCs w:val="32"/>
        </w:rPr>
      </w:pPr>
      <w:r w:rsidRPr="007E66BF">
        <w:rPr>
          <w:rFonts w:ascii="Cambria" w:eastAsia="Cambria" w:hAnsi="Cambria" w:cs="Cambria"/>
          <w:b/>
          <w:color w:val="385623" w:themeColor="accent6" w:themeShade="80"/>
          <w:sz w:val="32"/>
          <w:szCs w:val="32"/>
        </w:rPr>
        <w:lastRenderedPageBreak/>
        <w:t>Framework for the Jump Diffusion Model</w:t>
      </w:r>
    </w:p>
    <w:p w14:paraId="2B5D84F4" w14:textId="77777777" w:rsidR="0050395A" w:rsidRDefault="003A3AD5">
      <w:pPr>
        <w:widowControl w:val="0"/>
        <w:tabs>
          <w:tab w:val="right" w:pos="9630"/>
        </w:tabs>
        <w:spacing w:after="120"/>
        <w:jc w:val="both"/>
        <w:rPr>
          <w:rFonts w:ascii="Cambria" w:eastAsia="Cambria" w:hAnsi="Cambria" w:cs="Cambria"/>
        </w:rPr>
      </w:pPr>
      <w:r>
        <w:rPr>
          <w:rFonts w:ascii="Cambria" w:eastAsia="Cambria" w:hAnsi="Cambria" w:cs="Cambria"/>
        </w:rPr>
        <w:t xml:space="preserve">A different model to price derivatives, introduced by Merton in 1976, can be used to account for discontinuities in the trajectory of the underlying asset. The jump diffusion model (JD from now onwards) is flexible enough to introduce many of the recurrent </w:t>
      </w:r>
      <w:r>
        <w:rPr>
          <w:rFonts w:ascii="Cambria" w:eastAsia="Cambria" w:hAnsi="Cambria" w:cs="Cambria"/>
          <w:i/>
        </w:rPr>
        <w:t>stylized facts</w:t>
      </w:r>
      <w:r>
        <w:rPr>
          <w:rFonts w:ascii="Cambria" w:eastAsia="Cambria" w:hAnsi="Cambria" w:cs="Cambria"/>
        </w:rPr>
        <w:t xml:space="preserve"> for the log-returns distribution, such as non-zero skewness and positive excess kurtosis. The stochastic differential of the underlying asset price can be written in the extended form:</w:t>
      </w:r>
    </w:p>
    <w:p w14:paraId="3DC24DFF" w14:textId="77777777" w:rsidR="0050395A" w:rsidRDefault="003A3AD5" w:rsidP="00345BBA">
      <w:pPr>
        <w:spacing w:after="120"/>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dS</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 S</m:t>
          </m:r>
          <m:d>
            <m:dPr>
              <m:ctrlPr>
                <w:rPr>
                  <w:rFonts w:ascii="Cambria Math" w:eastAsia="Cambria Math" w:hAnsi="Cambria Math" w:cs="Cambria Math"/>
                  <w:sz w:val="24"/>
                  <w:szCs w:val="24"/>
                </w:rPr>
              </m:ctrlPr>
            </m:dPr>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t</m:t>
                  </m:r>
                </m:e>
                <m:sup>
                  <m:r>
                    <w:rPr>
                      <w:rFonts w:ascii="Cambria Math" w:eastAsia="Cambria Math" w:hAnsi="Cambria Math" w:cs="Cambria Math"/>
                      <w:sz w:val="24"/>
                      <w:szCs w:val="24"/>
                    </w:rPr>
                    <m:t>-</m:t>
                  </m:r>
                </m:sup>
              </m:sSup>
            </m:e>
          </m:d>
          <m:r>
            <w:rPr>
              <w:rFonts w:ascii="Cambria Math" w:eastAsia="Cambria Math" w:hAnsi="Cambria Math" w:cs="Cambria Math"/>
              <w:sz w:val="24"/>
              <w:szCs w:val="24"/>
            </w:rPr>
            <m:t>(μdt+σdW</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+dJ(t))</m:t>
          </m:r>
        </m:oMath>
      </m:oMathPara>
    </w:p>
    <w:p w14:paraId="623702CE" w14:textId="5D28F818" w:rsidR="0050395A" w:rsidRDefault="003A3AD5">
      <w:pPr>
        <w:widowControl w:val="0"/>
        <w:spacing w:after="120"/>
        <w:jc w:val="both"/>
        <w:rPr>
          <w:rFonts w:ascii="Cambria" w:eastAsia="Cambria" w:hAnsi="Cambria" w:cs="Cambria"/>
        </w:rPr>
      </w:pPr>
      <w:r>
        <w:rPr>
          <w:rFonts w:ascii="Cambria" w:eastAsia="Cambria" w:hAnsi="Cambria" w:cs="Cambria"/>
        </w:rPr>
        <w:t xml:space="preserve">where </w:t>
      </w:r>
      <m:oMath>
        <m:r>
          <w:rPr>
            <w:rFonts w:ascii="Cambria Math" w:eastAsia="Cambria Math" w:hAnsi="Cambria Math" w:cs="Cambria Math"/>
          </w:rPr>
          <m:t>J(t)=</m:t>
        </m:r>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N(t)</m:t>
            </m:r>
          </m:sup>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-1)</m:t>
        </m:r>
      </m:oMath>
      <w:r>
        <w:rPr>
          <w:rFonts w:ascii="Cambria" w:eastAsia="Cambria" w:hAnsi="Cambria" w:cs="Cambria"/>
        </w:rPr>
        <w:t xml:space="preserve"> is a Compound Poisson process. We can therefore find some new parameters with respect to the BMS framework. The first is the intensity λ of the Poisson random variable N(t) which counts the number of jumps occurred until time t (included). Secondly, by assigning lognormal dynamics to </w:t>
      </w:r>
      <w:proofErr w:type="spellStart"/>
      <w:r>
        <w:rPr>
          <w:rFonts w:ascii="Cambria" w:eastAsia="Cambria" w:hAnsi="Cambria" w:cs="Cambria"/>
        </w:rPr>
        <w:t>Y</w:t>
      </w:r>
      <w:r>
        <w:rPr>
          <w:rFonts w:ascii="Cambria" w:eastAsia="Cambria" w:hAnsi="Cambria" w:cs="Cambria"/>
          <w:vertAlign w:val="subscript"/>
        </w:rPr>
        <w:t>j</w:t>
      </w:r>
      <w:proofErr w:type="spellEnd"/>
      <w:r>
        <w:rPr>
          <w:rFonts w:ascii="Cambria" w:eastAsia="Cambria" w:hAnsi="Cambria" w:cs="Cambria"/>
        </w:rPr>
        <w:t>, we define with α and β, respectively, the mean and standard deviation of the log-jump distribution. Finally, by noticing that the jumps unpredictability makes the JD market incomplete, an additional parameter allows to move among the infinite EMMs. Indeed, the price of risk</w:t>
      </w:r>
      <w:r w:rsidR="00DC59C1">
        <w:rPr>
          <w:rFonts w:ascii="Cambria" w:eastAsia="Cambria" w:hAnsi="Cambria" w:cs="Cambria"/>
        </w:rPr>
        <w:t>:</w:t>
      </w:r>
    </w:p>
    <w:p w14:paraId="73738A80" w14:textId="77777777" w:rsidR="0050395A" w:rsidRDefault="003A3AD5" w:rsidP="00345BBA">
      <w:pPr>
        <w:spacing w:after="120"/>
        <w:jc w:val="center"/>
        <w:rPr>
          <w:rFonts w:ascii="Cambria Math" w:eastAsia="Cambria Math" w:hAnsi="Cambria Math" w:cs="Cambria Math"/>
        </w:rPr>
      </w:pPr>
      <m:oMathPara>
        <m:oMath>
          <m:r>
            <w:rPr>
              <w:rFonts w:ascii="Cambria Math" w:eastAsia="Cambria Math" w:hAnsi="Cambria Math" w:cs="Cambria Math"/>
            </w:rPr>
            <m:t>θ=</m:t>
          </m:r>
          <m:f>
            <m:fPr>
              <m:ctrlPr>
                <w:rPr>
                  <w:rFonts w:ascii="Cambria Math" w:eastAsia="Cambria Math" w:hAnsi="Cambria Math" w:cs="Cambria Math"/>
                </w:rPr>
              </m:ctrlPr>
            </m:fPr>
            <m:num>
              <m:r>
                <w:rPr>
                  <w:rFonts w:ascii="Cambria Math" w:eastAsia="Cambria Math" w:hAnsi="Cambria Math" w:cs="Cambria Math"/>
                </w:rPr>
                <m:t>μ+</m:t>
              </m:r>
              <m:d>
                <m:dPr>
                  <m:ctrlPr>
                    <w:rPr>
                      <w:rFonts w:ascii="Cambria Math" w:eastAsia="Cambria Math" w:hAnsi="Cambria Math" w:cs="Cambria Math"/>
                    </w:rPr>
                  </m:ctrlPr>
                </m:dPr>
                <m:e>
                  <m:r>
                    <w:rPr>
                      <w:rFonts w:ascii="Cambria Math" w:eastAsia="Cambria Math" w:hAnsi="Cambria Math" w:cs="Cambria Math"/>
                    </w:rPr>
                    <m:t>E</m:t>
                  </m:r>
                  <m:d>
                    <m:dPr>
                      <m:begChr m:val="["/>
                      <m:endChr m:val="]"/>
                      <m:ctrlPr>
                        <w:rPr>
                          <w:rFonts w:ascii="Cambria Math" w:eastAsia="Cambria Math" w:hAnsi="Cambria Math" w:cs="Cambria Math"/>
                        </w:rPr>
                      </m:ctrlPr>
                    </m:dPr>
                    <m:e>
                      <m:r>
                        <w:rPr>
                          <w:rFonts w:ascii="Cambria Math" w:eastAsia="Cambria Math" w:hAnsi="Cambria Math" w:cs="Cambria Math"/>
                        </w:rPr>
                        <m:t>Y</m:t>
                      </m:r>
                    </m:e>
                  </m:d>
                  <m:r>
                    <w:rPr>
                      <w:rFonts w:ascii="Cambria Math" w:eastAsia="Cambria Math" w:hAnsi="Cambria Math" w:cs="Cambria Math"/>
                    </w:rPr>
                    <m:t>-1</m:t>
                  </m:r>
                </m:e>
              </m:d>
              <m:r>
                <w:rPr>
                  <w:rFonts w:ascii="Cambria Math" w:eastAsia="Cambria Math" w:hAnsi="Cambria Math" w:cs="Cambria Math"/>
                </w:rPr>
                <m:t>ϕ</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P</m:t>
                  </m:r>
                </m:sup>
              </m:sSup>
              <m:r>
                <w:rPr>
                  <w:rFonts w:ascii="Cambria Math" w:eastAsia="Cambria Math" w:hAnsi="Cambria Math" w:cs="Cambria Math"/>
                </w:rPr>
                <m:t>-r</m:t>
              </m:r>
            </m:num>
            <m:den>
              <m:r>
                <w:rPr>
                  <w:rFonts w:ascii="Cambria Math" w:eastAsia="Cambria Math" w:hAnsi="Cambria Math" w:cs="Cambria Math"/>
                </w:rPr>
                <m:t>σ</m:t>
              </m:r>
            </m:den>
          </m:f>
        </m:oMath>
      </m:oMathPara>
    </w:p>
    <w:p w14:paraId="32953F65" w14:textId="0E4A8BAC" w:rsidR="0050395A" w:rsidRDefault="00E57116" w:rsidP="00DC59C1">
      <w:pPr>
        <w:widowControl w:val="0"/>
        <w:tabs>
          <w:tab w:val="right" w:pos="9630"/>
        </w:tabs>
        <w:spacing w:after="7200"/>
        <w:jc w:val="both"/>
        <w:rPr>
          <w:rFonts w:ascii="Cambria" w:eastAsia="Cambria" w:hAnsi="Cambria" w:cs="Cambria"/>
        </w:rPr>
      </w:pPr>
      <w:r w:rsidRPr="00B246CE">
        <w:rPr>
          <w:noProof/>
        </w:rPr>
        <w:drawing>
          <wp:anchor distT="0" distB="0" distL="114300" distR="114300" simplePos="0" relativeHeight="251664384" behindDoc="0" locked="0" layoutInCell="1" allowOverlap="1" wp14:anchorId="6ECFB1E4" wp14:editId="0464FBCE">
            <wp:simplePos x="0" y="0"/>
            <wp:positionH relativeFrom="column">
              <wp:posOffset>-11430</wp:posOffset>
            </wp:positionH>
            <wp:positionV relativeFrom="paragraph">
              <wp:posOffset>449580</wp:posOffset>
            </wp:positionV>
            <wp:extent cx="6120130" cy="18491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849120"/>
                    </a:xfrm>
                    <a:prstGeom prst="rect">
                      <a:avLst/>
                    </a:prstGeom>
                  </pic:spPr>
                </pic:pic>
              </a:graphicData>
            </a:graphic>
            <wp14:sizeRelH relativeFrom="page">
              <wp14:pctWidth>0</wp14:pctWidth>
            </wp14:sizeRelH>
            <wp14:sizeRelV relativeFrom="page">
              <wp14:pctHeight>0</wp14:pctHeight>
            </wp14:sizeRelV>
          </wp:anchor>
        </w:drawing>
      </w:r>
      <w:r w:rsidRPr="00B246CE">
        <w:rPr>
          <w:noProof/>
        </w:rPr>
        <w:drawing>
          <wp:anchor distT="0" distB="0" distL="114300" distR="114300" simplePos="0" relativeHeight="251665408" behindDoc="0" locked="0" layoutInCell="1" allowOverlap="1" wp14:anchorId="3A2B55A8" wp14:editId="554DDFBE">
            <wp:simplePos x="0" y="0"/>
            <wp:positionH relativeFrom="column">
              <wp:posOffset>-11430</wp:posOffset>
            </wp:positionH>
            <wp:positionV relativeFrom="paragraph">
              <wp:posOffset>2667000</wp:posOffset>
            </wp:positionV>
            <wp:extent cx="6120130" cy="18548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1854835"/>
                    </a:xfrm>
                    <a:prstGeom prst="rect">
                      <a:avLst/>
                    </a:prstGeom>
                  </pic:spPr>
                </pic:pic>
              </a:graphicData>
            </a:graphic>
            <wp14:sizeRelH relativeFrom="page">
              <wp14:pctWidth>0</wp14:pctWidth>
            </wp14:sizeRelH>
            <wp14:sizeRelV relativeFrom="page">
              <wp14:pctHeight>0</wp14:pctHeight>
            </wp14:sizeRelV>
          </wp:anchor>
        </w:drawing>
      </w:r>
      <w:r w:rsidR="0049037E">
        <w:rPr>
          <w:noProof/>
        </w:rPr>
        <mc:AlternateContent>
          <mc:Choice Requires="wps">
            <w:drawing>
              <wp:anchor distT="0" distB="0" distL="114300" distR="114300" simplePos="0" relativeHeight="251673600" behindDoc="0" locked="0" layoutInCell="1" allowOverlap="1" wp14:anchorId="5A0F9E9A" wp14:editId="5308E465">
                <wp:simplePos x="0" y="0"/>
                <wp:positionH relativeFrom="column">
                  <wp:posOffset>26670</wp:posOffset>
                </wp:positionH>
                <wp:positionV relativeFrom="paragraph">
                  <wp:posOffset>2326640</wp:posOffset>
                </wp:positionV>
                <wp:extent cx="6120130" cy="32766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6120130" cy="327660"/>
                        </a:xfrm>
                        <a:prstGeom prst="rect">
                          <a:avLst/>
                        </a:prstGeom>
                        <a:solidFill>
                          <a:prstClr val="white"/>
                        </a:solidFill>
                        <a:ln>
                          <a:noFill/>
                        </a:ln>
                      </wps:spPr>
                      <wps:txbx>
                        <w:txbxContent>
                          <w:p w14:paraId="587E79E8" w14:textId="73946087" w:rsidR="0049037E" w:rsidRPr="0049037E" w:rsidRDefault="004A4EC3" w:rsidP="0049037E">
                            <w:pPr>
                              <w:pStyle w:val="Caption"/>
                              <w:spacing w:after="0"/>
                              <w:rPr>
                                <w:rFonts w:ascii="Cambria" w:hAnsi="Cambria"/>
                              </w:rPr>
                            </w:pPr>
                            <w:r w:rsidRPr="0049037E">
                              <w:rPr>
                                <w:rFonts w:ascii="Cambria" w:hAnsi="Cambria"/>
                              </w:rPr>
                              <w:t xml:space="preserve">Figure </w:t>
                            </w:r>
                            <w:r w:rsidR="00D10AA4" w:rsidRPr="0049037E">
                              <w:rPr>
                                <w:rFonts w:ascii="Cambria" w:hAnsi="Cambria"/>
                              </w:rPr>
                              <w:fldChar w:fldCharType="begin"/>
                            </w:r>
                            <w:r w:rsidR="00D10AA4" w:rsidRPr="0049037E">
                              <w:rPr>
                                <w:rFonts w:ascii="Cambria" w:hAnsi="Cambria"/>
                              </w:rPr>
                              <w:instrText xml:space="preserve"> SEQ Figure \* ARABIC </w:instrText>
                            </w:r>
                            <w:r w:rsidR="00D10AA4" w:rsidRPr="0049037E">
                              <w:rPr>
                                <w:rFonts w:ascii="Cambria" w:hAnsi="Cambria"/>
                              </w:rPr>
                              <w:fldChar w:fldCharType="separate"/>
                            </w:r>
                            <w:r w:rsidR="00F22FDC" w:rsidRPr="0049037E">
                              <w:rPr>
                                <w:rFonts w:ascii="Cambria" w:hAnsi="Cambria"/>
                                <w:noProof/>
                              </w:rPr>
                              <w:t>2</w:t>
                            </w:r>
                            <w:r w:rsidR="00D10AA4" w:rsidRPr="0049037E">
                              <w:rPr>
                                <w:rFonts w:ascii="Cambria" w:hAnsi="Cambria"/>
                                <w:noProof/>
                              </w:rPr>
                              <w:fldChar w:fldCharType="end"/>
                            </w:r>
                            <w:r w:rsidRPr="0049037E">
                              <w:rPr>
                                <w:rFonts w:ascii="Cambria" w:hAnsi="Cambria"/>
                              </w:rPr>
                              <w:t xml:space="preserve"> - </w:t>
                            </w:r>
                            <w:r w:rsidR="0049037E" w:rsidRPr="0049037E">
                              <w:rPr>
                                <w:rFonts w:ascii="Cambria" w:hAnsi="Cambria"/>
                              </w:rPr>
                              <w:t xml:space="preserve">10,000 simulations. S(0) = 50, r = 0.5%, q = 0, σ = 10%, T = 1y, dt = 1m, </w:t>
                            </w:r>
                            <w:proofErr w:type="spellStart"/>
                            <w:r w:rsidR="0049037E" w:rsidRPr="0049037E">
                              <w:rPr>
                                <w:rFonts w:ascii="Cambria" w:hAnsi="Cambria"/>
                              </w:rPr>
                              <w:t>λQ</w:t>
                            </w:r>
                            <w:proofErr w:type="spellEnd"/>
                            <w:r w:rsidR="0049037E" w:rsidRPr="0049037E">
                              <w:rPr>
                                <w:rFonts w:ascii="Cambria" w:hAnsi="Cambria"/>
                              </w:rPr>
                              <w:t xml:space="preserve"> = 2, α = 0.05, β = 0.001. </w:t>
                            </w:r>
                          </w:p>
                          <w:p w14:paraId="65C262C7" w14:textId="423943ED" w:rsidR="004A4EC3" w:rsidRPr="0049037E" w:rsidRDefault="0049037E" w:rsidP="004A4EC3">
                            <w:pPr>
                              <w:pStyle w:val="Caption"/>
                              <w:spacing w:after="0"/>
                              <w:rPr>
                                <w:rFonts w:ascii="Cambria" w:hAnsi="Cambria"/>
                                <w:noProof/>
                              </w:rPr>
                            </w:pPr>
                            <w:r w:rsidRPr="0049037E">
                              <w:rPr>
                                <w:rFonts w:ascii="Cambria" w:hAnsi="Cambria"/>
                              </w:rPr>
                              <w:t>Note: The scale of the vertical axes is different.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F9E9A" id="Text Box 14" o:spid="_x0000_s1027" type="#_x0000_t202" style="position:absolute;left:0;text-align:left;margin-left:2.1pt;margin-top:183.2pt;width:481.9pt;height:25.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" stroked="f">
                <v:textbox inset="0,0,0,0">
                  <w:txbxContent>
                    <w:p w14:paraId="587E79E8" w14:textId="73946087" w:rsidR="0049037E" w:rsidRPr="0049037E" w:rsidRDefault="004A4EC3" w:rsidP="0049037E">
                      <w:pPr>
                        <w:pStyle w:val="Caption"/>
                        <w:spacing w:after="0"/>
                        <w:rPr>
                          <w:rFonts w:ascii="Cambria" w:hAnsi="Cambria"/>
                        </w:rPr>
                      </w:pPr>
                      <w:r w:rsidRPr="0049037E">
                        <w:rPr>
                          <w:rFonts w:ascii="Cambria" w:hAnsi="Cambria"/>
                        </w:rPr>
                        <w:t xml:space="preserve">Figure </w:t>
                      </w:r>
                      <w:r w:rsidR="00D10AA4" w:rsidRPr="0049037E">
                        <w:rPr>
                          <w:rFonts w:ascii="Cambria" w:hAnsi="Cambria"/>
                        </w:rPr>
                        <w:fldChar w:fldCharType="begin"/>
                      </w:r>
                      <w:r w:rsidR="00D10AA4" w:rsidRPr="0049037E">
                        <w:rPr>
                          <w:rFonts w:ascii="Cambria" w:hAnsi="Cambria"/>
                        </w:rPr>
                        <w:instrText xml:space="preserve"> SEQ Figure \* ARABIC </w:instrText>
                      </w:r>
                      <w:r w:rsidR="00D10AA4" w:rsidRPr="0049037E">
                        <w:rPr>
                          <w:rFonts w:ascii="Cambria" w:hAnsi="Cambria"/>
                        </w:rPr>
                        <w:fldChar w:fldCharType="separate"/>
                      </w:r>
                      <w:r w:rsidR="00F22FDC" w:rsidRPr="0049037E">
                        <w:rPr>
                          <w:rFonts w:ascii="Cambria" w:hAnsi="Cambria"/>
                          <w:noProof/>
                        </w:rPr>
                        <w:t>2</w:t>
                      </w:r>
                      <w:r w:rsidR="00D10AA4" w:rsidRPr="0049037E">
                        <w:rPr>
                          <w:rFonts w:ascii="Cambria" w:hAnsi="Cambria"/>
                          <w:noProof/>
                        </w:rPr>
                        <w:fldChar w:fldCharType="end"/>
                      </w:r>
                      <w:r w:rsidRPr="0049037E">
                        <w:rPr>
                          <w:rFonts w:ascii="Cambria" w:hAnsi="Cambria"/>
                        </w:rPr>
                        <w:t xml:space="preserve"> - </w:t>
                      </w:r>
                      <w:r w:rsidR="0049037E" w:rsidRPr="0049037E">
                        <w:rPr>
                          <w:rFonts w:ascii="Cambria" w:hAnsi="Cambria"/>
                        </w:rPr>
                        <w:t xml:space="preserve">10,000 simulations. S(0) = 50, r = 0.5%, q = 0, σ = 10%, T = 1y, dt = 1m, </w:t>
                      </w:r>
                      <w:proofErr w:type="spellStart"/>
                      <w:r w:rsidR="0049037E" w:rsidRPr="0049037E">
                        <w:rPr>
                          <w:rFonts w:ascii="Cambria" w:hAnsi="Cambria"/>
                        </w:rPr>
                        <w:t>λQ</w:t>
                      </w:r>
                      <w:proofErr w:type="spellEnd"/>
                      <w:r w:rsidR="0049037E" w:rsidRPr="0049037E">
                        <w:rPr>
                          <w:rFonts w:ascii="Cambria" w:hAnsi="Cambria"/>
                        </w:rPr>
                        <w:t xml:space="preserve"> = 2, α = 0.05, β = 0.001. </w:t>
                      </w:r>
                    </w:p>
                    <w:p w14:paraId="65C262C7" w14:textId="423943ED" w:rsidR="004A4EC3" w:rsidRPr="0049037E" w:rsidRDefault="0049037E" w:rsidP="004A4EC3">
                      <w:pPr>
                        <w:pStyle w:val="Caption"/>
                        <w:spacing w:after="0"/>
                        <w:rPr>
                          <w:rFonts w:ascii="Cambria" w:hAnsi="Cambria"/>
                          <w:noProof/>
                        </w:rPr>
                      </w:pPr>
                      <w:r w:rsidRPr="0049037E">
                        <w:rPr>
                          <w:rFonts w:ascii="Cambria" w:hAnsi="Cambria"/>
                        </w:rPr>
                        <w:t>Note: The scale of the vertical axes is different.</w:t>
                      </w:r>
                    </w:p>
                  </w:txbxContent>
                </v:textbox>
                <w10:wrap type="topAndBottom"/>
              </v:shape>
            </w:pict>
          </mc:Fallback>
        </mc:AlternateContent>
      </w:r>
      <w:r w:rsidR="0049037E">
        <w:rPr>
          <w:noProof/>
        </w:rPr>
        <mc:AlternateContent>
          <mc:Choice Requires="wps">
            <w:drawing>
              <wp:anchor distT="0" distB="0" distL="114300" distR="114300" simplePos="0" relativeHeight="251671552" behindDoc="0" locked="0" layoutInCell="1" allowOverlap="1" wp14:anchorId="5970AE74" wp14:editId="5CDCF4EA">
                <wp:simplePos x="0" y="0"/>
                <wp:positionH relativeFrom="column">
                  <wp:posOffset>26670</wp:posOffset>
                </wp:positionH>
                <wp:positionV relativeFrom="paragraph">
                  <wp:posOffset>4523105</wp:posOffset>
                </wp:positionV>
                <wp:extent cx="61201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E4818B3" w14:textId="77777777" w:rsidR="0049037E" w:rsidRPr="0049037E" w:rsidRDefault="004A4EC3" w:rsidP="0049037E">
                            <w:pPr>
                              <w:pStyle w:val="Caption"/>
                              <w:spacing w:after="0"/>
                              <w:rPr>
                                <w:rFonts w:ascii="Cambria" w:hAnsi="Cambria"/>
                              </w:rPr>
                            </w:pPr>
                            <w:r w:rsidRPr="0049037E">
                              <w:rPr>
                                <w:rFonts w:ascii="Cambria" w:hAnsi="Cambria"/>
                              </w:rPr>
                              <w:t xml:space="preserve">Figure </w:t>
                            </w:r>
                            <w:r w:rsidR="00D10AA4" w:rsidRPr="0049037E">
                              <w:rPr>
                                <w:rFonts w:ascii="Cambria" w:hAnsi="Cambria"/>
                              </w:rPr>
                              <w:fldChar w:fldCharType="begin"/>
                            </w:r>
                            <w:r w:rsidR="00D10AA4" w:rsidRPr="0049037E">
                              <w:rPr>
                                <w:rFonts w:ascii="Cambria" w:hAnsi="Cambria"/>
                              </w:rPr>
                              <w:instrText xml:space="preserve"> SEQ Figure \* ARABIC </w:instrText>
                            </w:r>
                            <w:r w:rsidR="00D10AA4" w:rsidRPr="0049037E">
                              <w:rPr>
                                <w:rFonts w:ascii="Cambria" w:hAnsi="Cambria"/>
                              </w:rPr>
                              <w:fldChar w:fldCharType="separate"/>
                            </w:r>
                            <w:r w:rsidR="00F22FDC" w:rsidRPr="0049037E">
                              <w:rPr>
                                <w:rFonts w:ascii="Cambria" w:hAnsi="Cambria"/>
                                <w:noProof/>
                              </w:rPr>
                              <w:t>3</w:t>
                            </w:r>
                            <w:r w:rsidR="00D10AA4" w:rsidRPr="0049037E">
                              <w:rPr>
                                <w:rFonts w:ascii="Cambria" w:hAnsi="Cambria"/>
                                <w:noProof/>
                              </w:rPr>
                              <w:fldChar w:fldCharType="end"/>
                            </w:r>
                            <w:r w:rsidRPr="0049037E">
                              <w:rPr>
                                <w:rFonts w:ascii="Cambria" w:hAnsi="Cambria"/>
                              </w:rPr>
                              <w:t xml:space="preserve"> - </w:t>
                            </w:r>
                            <w:r w:rsidR="0049037E" w:rsidRPr="0049037E">
                              <w:rPr>
                                <w:rFonts w:ascii="Cambria" w:hAnsi="Cambria"/>
                              </w:rPr>
                              <w:t xml:space="preserve">Variance of the stock price at each month and comparison of the terminal price distribution with a standard Normal. </w:t>
                            </w:r>
                          </w:p>
                          <w:p w14:paraId="0EAB15F7" w14:textId="4EE85608" w:rsidR="004A4EC3" w:rsidRPr="0049037E" w:rsidRDefault="0049037E" w:rsidP="0049037E">
                            <w:pPr>
                              <w:pStyle w:val="Caption"/>
                              <w:spacing w:after="0"/>
                              <w:rPr>
                                <w:rFonts w:ascii="Cambria" w:hAnsi="Cambria"/>
                                <w:noProof/>
                              </w:rPr>
                            </w:pPr>
                            <w:r w:rsidRPr="0049037E">
                              <w:rPr>
                                <w:rFonts w:ascii="Cambria" w:hAnsi="Cambria"/>
                              </w:rPr>
                              <w:t>Note: The distribution shows fatter tails (and positive skewness since E[Y] &gt;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0AE74" id="Text Box 13" o:spid="_x0000_s1028" type="#_x0000_t202" style="position:absolute;left:0;text-align:left;margin-left:2.1pt;margin-top:356.15pt;width:481.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CmLAIAAGY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" stroked="f">
                <v:textbox style="mso-fit-shape-to-text:t" inset="0,0,0,0">
                  <w:txbxContent>
                    <w:p w14:paraId="1E4818B3" w14:textId="77777777" w:rsidR="0049037E" w:rsidRPr="0049037E" w:rsidRDefault="004A4EC3" w:rsidP="0049037E">
                      <w:pPr>
                        <w:pStyle w:val="Caption"/>
                        <w:spacing w:after="0"/>
                        <w:rPr>
                          <w:rFonts w:ascii="Cambria" w:hAnsi="Cambria"/>
                        </w:rPr>
                      </w:pPr>
                      <w:r w:rsidRPr="0049037E">
                        <w:rPr>
                          <w:rFonts w:ascii="Cambria" w:hAnsi="Cambria"/>
                        </w:rPr>
                        <w:t xml:space="preserve">Figure </w:t>
                      </w:r>
                      <w:r w:rsidR="00D10AA4" w:rsidRPr="0049037E">
                        <w:rPr>
                          <w:rFonts w:ascii="Cambria" w:hAnsi="Cambria"/>
                        </w:rPr>
                        <w:fldChar w:fldCharType="begin"/>
                      </w:r>
                      <w:r w:rsidR="00D10AA4" w:rsidRPr="0049037E">
                        <w:rPr>
                          <w:rFonts w:ascii="Cambria" w:hAnsi="Cambria"/>
                        </w:rPr>
                        <w:instrText xml:space="preserve"> SEQ Figure \* ARABIC </w:instrText>
                      </w:r>
                      <w:r w:rsidR="00D10AA4" w:rsidRPr="0049037E">
                        <w:rPr>
                          <w:rFonts w:ascii="Cambria" w:hAnsi="Cambria"/>
                        </w:rPr>
                        <w:fldChar w:fldCharType="separate"/>
                      </w:r>
                      <w:r w:rsidR="00F22FDC" w:rsidRPr="0049037E">
                        <w:rPr>
                          <w:rFonts w:ascii="Cambria" w:hAnsi="Cambria"/>
                          <w:noProof/>
                        </w:rPr>
                        <w:t>3</w:t>
                      </w:r>
                      <w:r w:rsidR="00D10AA4" w:rsidRPr="0049037E">
                        <w:rPr>
                          <w:rFonts w:ascii="Cambria" w:hAnsi="Cambria"/>
                          <w:noProof/>
                        </w:rPr>
                        <w:fldChar w:fldCharType="end"/>
                      </w:r>
                      <w:r w:rsidRPr="0049037E">
                        <w:rPr>
                          <w:rFonts w:ascii="Cambria" w:hAnsi="Cambria"/>
                        </w:rPr>
                        <w:t xml:space="preserve"> - </w:t>
                      </w:r>
                      <w:r w:rsidR="0049037E" w:rsidRPr="0049037E">
                        <w:rPr>
                          <w:rFonts w:ascii="Cambria" w:hAnsi="Cambria"/>
                        </w:rPr>
                        <w:t xml:space="preserve">Variance of the stock price at each month and comparison of the terminal price distribution with a standard Normal. </w:t>
                      </w:r>
                    </w:p>
                    <w:p w14:paraId="0EAB15F7" w14:textId="4EE85608" w:rsidR="004A4EC3" w:rsidRPr="0049037E" w:rsidRDefault="0049037E" w:rsidP="0049037E">
                      <w:pPr>
                        <w:pStyle w:val="Caption"/>
                        <w:spacing w:after="0"/>
                        <w:rPr>
                          <w:rFonts w:ascii="Cambria" w:hAnsi="Cambria"/>
                          <w:noProof/>
                        </w:rPr>
                      </w:pPr>
                      <w:r w:rsidRPr="0049037E">
                        <w:rPr>
                          <w:rFonts w:ascii="Cambria" w:hAnsi="Cambria"/>
                        </w:rPr>
                        <w:t>Note: The distribution shows fatter tails (and positive skewness since E[Y] &gt; 1.</w:t>
                      </w:r>
                    </w:p>
                  </w:txbxContent>
                </v:textbox>
                <w10:wrap type="topAndBottom"/>
              </v:shape>
            </w:pict>
          </mc:Fallback>
        </mc:AlternateContent>
      </w:r>
      <w:r w:rsidR="003A3AD5">
        <w:rPr>
          <w:rFonts w:ascii="Cambria" w:eastAsia="Cambria" w:hAnsi="Cambria" w:cs="Cambria"/>
        </w:rPr>
        <w:t xml:space="preserve">is an increasing function of ϕ, that we will call risk aversion in the following. By setting up the framework </w:t>
      </w:r>
      <w:r w:rsidR="00B246CE" w:rsidRPr="00B246CE">
        <w:t xml:space="preserve"> </w:t>
      </w:r>
      <w:r w:rsidR="003A3AD5">
        <w:rPr>
          <w:rFonts w:ascii="Cambria" w:eastAsia="Cambria" w:hAnsi="Cambria" w:cs="Cambria"/>
        </w:rPr>
        <w:t>we immediately notice an increase in variability for the underlying stock price:</w:t>
      </w:r>
      <w:r w:rsidR="00B246CE" w:rsidRPr="00B246CE">
        <w:rPr>
          <w:noProof/>
        </w:rPr>
        <w:t xml:space="preserve"> </w:t>
      </w:r>
    </w:p>
    <w:p w14:paraId="22ADD8F0" w14:textId="4DBF92F4" w:rsidR="0050395A" w:rsidRDefault="003A3AD5">
      <w:pPr>
        <w:widowControl w:val="0"/>
        <w:tabs>
          <w:tab w:val="right" w:pos="9630"/>
        </w:tabs>
        <w:spacing w:after="240"/>
        <w:jc w:val="both"/>
        <w:rPr>
          <w:rFonts w:ascii="Cambria" w:eastAsia="Cambria" w:hAnsi="Cambria" w:cs="Cambria"/>
        </w:rPr>
      </w:pPr>
      <w:r>
        <w:rPr>
          <w:rFonts w:ascii="Cambria" w:eastAsia="Cambria" w:hAnsi="Cambria" w:cs="Cambria"/>
        </w:rPr>
        <w:t xml:space="preserve">With this backdrop, the aim of the research is to analyze how the smile described in the first section is affected using a model which allows for a higher variance of the underlying asset price. Our intuition is that the opportunity to model risk </w:t>
      </w:r>
      <w:r w:rsidR="003B0D89">
        <w:rPr>
          <w:rFonts w:ascii="Cambria" w:eastAsia="Cambria" w:hAnsi="Cambria" w:cs="Cambria"/>
        </w:rPr>
        <w:t xml:space="preserve">in addition </w:t>
      </w:r>
      <w:r>
        <w:rPr>
          <w:rFonts w:ascii="Cambria" w:eastAsia="Cambria" w:hAnsi="Cambria" w:cs="Cambria"/>
        </w:rPr>
        <w:t>to the Brownian motion alone can greatly influence the shape of the implied volatility and we intend to perform a sensitivity analysis on each additional parameter of the JD framework to verify the influence of each quantity</w:t>
      </w:r>
      <w:r w:rsidR="00F07E38">
        <w:rPr>
          <w:rFonts w:ascii="Cambria" w:eastAsia="Cambria" w:hAnsi="Cambria" w:cs="Cambria"/>
        </w:rPr>
        <w:t xml:space="preserve"> on the </w:t>
      </w:r>
      <w:r w:rsidR="00F60C07">
        <w:rPr>
          <w:rFonts w:ascii="Cambria" w:eastAsia="Cambria" w:hAnsi="Cambria" w:cs="Cambria"/>
        </w:rPr>
        <w:t>resulting</w:t>
      </w:r>
      <w:r w:rsidR="00D30EBD">
        <w:rPr>
          <w:rFonts w:ascii="Cambria" w:eastAsia="Cambria" w:hAnsi="Cambria" w:cs="Cambria"/>
        </w:rPr>
        <w:t xml:space="preserve"> pattern</w:t>
      </w:r>
      <w:r w:rsidR="00F07E38">
        <w:rPr>
          <w:rFonts w:ascii="Cambria" w:eastAsia="Cambria" w:hAnsi="Cambria" w:cs="Cambria"/>
        </w:rPr>
        <w:t>.</w:t>
      </w:r>
    </w:p>
    <w:p w14:paraId="02684176" w14:textId="1885567F" w:rsidR="0050395A" w:rsidRPr="007E66BF" w:rsidRDefault="008E1AB4" w:rsidP="00704190">
      <w:pPr>
        <w:widowControl w:val="0"/>
        <w:tabs>
          <w:tab w:val="right" w:pos="9630"/>
        </w:tabs>
        <w:spacing w:after="120"/>
        <w:jc w:val="both"/>
        <w:rPr>
          <w:rFonts w:ascii="Cambria" w:eastAsia="Cambria" w:hAnsi="Cambria" w:cs="Cambria"/>
          <w:b/>
          <w:color w:val="385623" w:themeColor="accent6" w:themeShade="80"/>
          <w:sz w:val="32"/>
          <w:szCs w:val="32"/>
        </w:rPr>
      </w:pPr>
      <w:r>
        <w:rPr>
          <w:rFonts w:ascii="Cambria" w:eastAsia="Cambria" w:hAnsi="Cambria" w:cs="Cambria"/>
          <w:b/>
          <w:color w:val="385623" w:themeColor="accent6" w:themeShade="80"/>
          <w:sz w:val="32"/>
          <w:szCs w:val="32"/>
        </w:rPr>
        <w:lastRenderedPageBreak/>
        <w:t>Considerations</w:t>
      </w:r>
      <w:r w:rsidR="0033272B">
        <w:rPr>
          <w:rFonts w:ascii="Cambria" w:eastAsia="Cambria" w:hAnsi="Cambria" w:cs="Cambria"/>
          <w:b/>
          <w:color w:val="385623" w:themeColor="accent6" w:themeShade="80"/>
          <w:sz w:val="32"/>
          <w:szCs w:val="32"/>
        </w:rPr>
        <w:t xml:space="preserve"> on the Data</w:t>
      </w:r>
    </w:p>
    <w:p w14:paraId="74A41046" w14:textId="502308CA" w:rsidR="0050395A" w:rsidRDefault="00704190">
      <w:pPr>
        <w:widowControl w:val="0"/>
        <w:tabs>
          <w:tab w:val="right" w:pos="9630"/>
        </w:tabs>
        <w:spacing w:after="0"/>
        <w:jc w:val="both"/>
        <w:rPr>
          <w:rFonts w:ascii="Cambria" w:eastAsia="Cambria" w:hAnsi="Cambria" w:cs="Cambria"/>
        </w:rPr>
      </w:pPr>
      <w:r>
        <w:rPr>
          <w:rFonts w:ascii="Cambria" w:eastAsia="Cambria" w:hAnsi="Cambria" w:cs="Cambria"/>
        </w:rPr>
        <w:t xml:space="preserve">One delicate point is that the </w:t>
      </w:r>
      <w:r w:rsidR="0052469D">
        <w:rPr>
          <w:rFonts w:ascii="Cambria" w:eastAsia="Cambria" w:hAnsi="Cambria" w:cs="Cambria"/>
        </w:rPr>
        <w:t xml:space="preserve">pattern of </w:t>
      </w:r>
      <w:r>
        <w:rPr>
          <w:rFonts w:ascii="Cambria" w:eastAsia="Cambria" w:hAnsi="Cambria" w:cs="Cambria"/>
        </w:rPr>
        <w:t xml:space="preserve">volatility is highly dependent on the liquidity of the underlying market (since it comes directly from </w:t>
      </w:r>
      <w:r w:rsidR="00106C2C">
        <w:rPr>
          <w:rFonts w:ascii="Cambria" w:eastAsia="Cambria" w:hAnsi="Cambria" w:cs="Cambria"/>
        </w:rPr>
        <w:t xml:space="preserve">market </w:t>
      </w:r>
      <w:r>
        <w:rPr>
          <w:rFonts w:ascii="Cambria" w:eastAsia="Cambria" w:hAnsi="Cambria" w:cs="Cambria"/>
        </w:rPr>
        <w:t>prices). To avoid</w:t>
      </w:r>
      <w:r w:rsidR="00106C2C">
        <w:rPr>
          <w:rFonts w:ascii="Cambria" w:eastAsia="Cambria" w:hAnsi="Cambria" w:cs="Cambria"/>
        </w:rPr>
        <w:t xml:space="preserve"> relying on irregular prices</w:t>
      </w:r>
      <w:r w:rsidR="001A3257">
        <w:rPr>
          <w:rFonts w:ascii="Cambria" w:eastAsia="Cambria" w:hAnsi="Cambria" w:cs="Cambria"/>
        </w:rPr>
        <w:t xml:space="preserve"> that might have distorted the analysis,</w:t>
      </w:r>
      <w:r>
        <w:rPr>
          <w:rFonts w:ascii="Cambria" w:eastAsia="Cambria" w:hAnsi="Cambria" w:cs="Cambria"/>
        </w:rPr>
        <w:t xml:space="preserve"> </w:t>
      </w:r>
      <w:r w:rsidR="001A3257">
        <w:rPr>
          <w:rFonts w:ascii="Cambria" w:eastAsia="Cambria" w:hAnsi="Cambria" w:cs="Cambria"/>
        </w:rPr>
        <w:t>w</w:t>
      </w:r>
      <w:r w:rsidR="003A3AD5">
        <w:rPr>
          <w:rFonts w:ascii="Cambria" w:eastAsia="Cambria" w:hAnsi="Cambria" w:cs="Cambria"/>
        </w:rPr>
        <w:t xml:space="preserve">e decided to work on </w:t>
      </w:r>
      <w:r w:rsidR="001A3257">
        <w:rPr>
          <w:rFonts w:ascii="Cambria" w:eastAsia="Cambria" w:hAnsi="Cambria" w:cs="Cambria"/>
        </w:rPr>
        <w:t xml:space="preserve">plain-vanilla </w:t>
      </w:r>
      <w:r w:rsidR="00784AEE">
        <w:rPr>
          <w:rFonts w:ascii="Cambria" w:eastAsia="Cambria" w:hAnsi="Cambria" w:cs="Cambria"/>
        </w:rPr>
        <w:t xml:space="preserve">30-days </w:t>
      </w:r>
      <w:r w:rsidR="003A3AD5">
        <w:rPr>
          <w:rFonts w:ascii="Cambria" w:eastAsia="Cambria" w:hAnsi="Cambria" w:cs="Cambria"/>
        </w:rPr>
        <w:t xml:space="preserve">options written on two </w:t>
      </w:r>
      <w:r w:rsidR="00B32B6C">
        <w:rPr>
          <w:rFonts w:ascii="Cambria" w:eastAsia="Cambria" w:hAnsi="Cambria" w:cs="Cambria"/>
        </w:rPr>
        <w:t xml:space="preserve">famous and widely-available </w:t>
      </w:r>
      <w:r w:rsidR="003A3AD5">
        <w:rPr>
          <w:rFonts w:ascii="Cambria" w:eastAsia="Cambria" w:hAnsi="Cambria" w:cs="Cambria"/>
        </w:rPr>
        <w:t xml:space="preserve">indexes: the S&amp;P 500 and the STOXX </w:t>
      </w:r>
      <w:r w:rsidR="00351FB7">
        <w:rPr>
          <w:rFonts w:ascii="Cambria" w:eastAsia="Cambria" w:hAnsi="Cambria" w:cs="Cambria"/>
        </w:rPr>
        <w:t xml:space="preserve">Europe </w:t>
      </w:r>
      <w:r w:rsidR="003A3AD5">
        <w:rPr>
          <w:rFonts w:ascii="Cambria" w:eastAsia="Cambria" w:hAnsi="Cambria" w:cs="Cambria"/>
        </w:rPr>
        <w:t>600.</w:t>
      </w:r>
      <w:r w:rsidR="00232203">
        <w:rPr>
          <w:rFonts w:ascii="Cambria" w:eastAsia="Cambria" w:hAnsi="Cambria" w:cs="Cambria"/>
        </w:rPr>
        <w:t xml:space="preserve"> In particular, having retrieved the data </w:t>
      </w:r>
      <w:r w:rsidR="00B76204">
        <w:rPr>
          <w:rFonts w:ascii="Cambria" w:eastAsia="Cambria" w:hAnsi="Cambria" w:cs="Cambria"/>
        </w:rPr>
        <w:t xml:space="preserve">from Bloomberg </w:t>
      </w:r>
      <w:r w:rsidR="00232203">
        <w:rPr>
          <w:rFonts w:ascii="Cambria" w:eastAsia="Cambria" w:hAnsi="Cambria" w:cs="Cambria"/>
        </w:rPr>
        <w:t>on November 18, the options expire on December 18.</w:t>
      </w:r>
    </w:p>
    <w:p w14:paraId="398C76FB" w14:textId="2D858C95" w:rsidR="00232203" w:rsidRDefault="00232203">
      <w:pPr>
        <w:widowControl w:val="0"/>
        <w:tabs>
          <w:tab w:val="right" w:pos="9630"/>
        </w:tabs>
        <w:spacing w:after="0"/>
        <w:jc w:val="both"/>
        <w:rPr>
          <w:rFonts w:ascii="Cambria" w:eastAsia="Cambria" w:hAnsi="Cambria" w:cs="Cambria"/>
        </w:rPr>
      </w:pPr>
      <w:r>
        <w:rPr>
          <w:rFonts w:ascii="Cambria" w:eastAsia="Cambria" w:hAnsi="Cambria" w:cs="Cambria"/>
        </w:rPr>
        <w:t xml:space="preserve">It is important to mention that we made sure that the options considered were European (so that our frameworks for </w:t>
      </w:r>
      <w:r w:rsidR="00A53266">
        <w:rPr>
          <w:rFonts w:ascii="Cambria" w:eastAsia="Cambria" w:hAnsi="Cambria" w:cs="Cambria"/>
        </w:rPr>
        <w:t xml:space="preserve">both </w:t>
      </w:r>
      <w:r>
        <w:rPr>
          <w:rFonts w:ascii="Cambria" w:eastAsia="Cambria" w:hAnsi="Cambria" w:cs="Cambria"/>
        </w:rPr>
        <w:t xml:space="preserve">BMS and JD are valid). With regard to the S&amp;P 500, two similar options were found, SPX and SPXW, which differ in terms of reference terminal price (AM </w:t>
      </w:r>
      <w:r w:rsidR="00FF4192">
        <w:rPr>
          <w:rFonts w:ascii="Cambria" w:eastAsia="Cambria" w:hAnsi="Cambria" w:cs="Cambria"/>
        </w:rPr>
        <w:t>vs</w:t>
      </w:r>
      <w:r>
        <w:rPr>
          <w:rFonts w:ascii="Cambria" w:eastAsia="Cambria" w:hAnsi="Cambria" w:cs="Cambria"/>
        </w:rPr>
        <w:t xml:space="preserve"> PM settled) and time of expiry (monthly vs weekly). After research</w:t>
      </w:r>
      <w:r w:rsidR="008C2B71">
        <w:rPr>
          <w:rFonts w:ascii="Cambria" w:eastAsia="Cambria" w:hAnsi="Cambria" w:cs="Cambria"/>
        </w:rPr>
        <w:t>ing</w:t>
      </w:r>
      <w:r>
        <w:rPr>
          <w:rFonts w:ascii="Cambria" w:eastAsia="Cambria" w:hAnsi="Cambria" w:cs="Cambria"/>
        </w:rPr>
        <w:t>, we decided to use SPX because of the higher liquidity</w:t>
      </w:r>
      <w:r w:rsidR="008C2B71">
        <w:rPr>
          <w:rFonts w:ascii="Cambria" w:eastAsia="Cambria" w:hAnsi="Cambria" w:cs="Cambria"/>
        </w:rPr>
        <w:t xml:space="preserve"> profile</w:t>
      </w:r>
      <w:r>
        <w:rPr>
          <w:rFonts w:ascii="Cambria" w:eastAsia="Cambria" w:hAnsi="Cambria" w:cs="Cambria"/>
        </w:rPr>
        <w:t>.</w:t>
      </w:r>
    </w:p>
    <w:p w14:paraId="3F3A1E50" w14:textId="55CBAC97" w:rsidR="0050395A" w:rsidRPr="007E66BF" w:rsidRDefault="008C2B71" w:rsidP="007E66BF">
      <w:pPr>
        <w:widowControl w:val="0"/>
        <w:tabs>
          <w:tab w:val="right" w:pos="9630"/>
        </w:tabs>
        <w:spacing w:after="240"/>
        <w:jc w:val="both"/>
        <w:rPr>
          <w:rFonts w:ascii="Cambria" w:eastAsia="Cambria" w:hAnsi="Cambria" w:cs="Cambria"/>
          <w:color w:val="D4D4D4"/>
          <w:sz w:val="21"/>
          <w:szCs w:val="21"/>
        </w:rPr>
      </w:pPr>
      <w:r>
        <w:rPr>
          <w:rFonts w:ascii="Cambria" w:eastAsia="Cambria" w:hAnsi="Cambria" w:cs="Cambria"/>
        </w:rPr>
        <w:t>Moreover, f</w:t>
      </w:r>
      <w:r w:rsidR="003A3AD5">
        <w:rPr>
          <w:rFonts w:ascii="Cambria" w:eastAsia="Cambria" w:hAnsi="Cambria" w:cs="Cambria"/>
        </w:rPr>
        <w:t xml:space="preserve">or each </w:t>
      </w:r>
      <w:r>
        <w:rPr>
          <w:rFonts w:ascii="Cambria" w:eastAsia="Cambria" w:hAnsi="Cambria" w:cs="Cambria"/>
        </w:rPr>
        <w:t>option</w:t>
      </w:r>
      <w:r w:rsidR="006D5EE5">
        <w:rPr>
          <w:rFonts w:ascii="Cambria" w:eastAsia="Cambria" w:hAnsi="Cambria" w:cs="Cambria"/>
        </w:rPr>
        <w:t>,</w:t>
      </w:r>
      <w:r w:rsidR="003A3AD5">
        <w:rPr>
          <w:rFonts w:ascii="Cambria" w:eastAsia="Cambria" w:hAnsi="Cambria" w:cs="Cambria"/>
        </w:rPr>
        <w:t xml:space="preserve"> we considered the </w:t>
      </w:r>
      <w:r w:rsidR="006D5EE5">
        <w:rPr>
          <w:rFonts w:ascii="Cambria" w:eastAsia="Cambria" w:hAnsi="Cambria" w:cs="Cambria"/>
        </w:rPr>
        <w:t>mid price and we double-checked whether the put-call parity held</w:t>
      </w:r>
      <w:r w:rsidR="003A3AD5">
        <w:rPr>
          <w:rFonts w:ascii="Cambria" w:eastAsia="Cambria" w:hAnsi="Cambria" w:cs="Cambria"/>
        </w:rPr>
        <w:t xml:space="preserve">. </w:t>
      </w:r>
      <w:r w:rsidR="006D5EE5">
        <w:rPr>
          <w:rFonts w:ascii="Cambria" w:eastAsia="Cambria" w:hAnsi="Cambria" w:cs="Cambria"/>
        </w:rPr>
        <w:t>The answer is, in general, yes, with marginal differences as the skews in the Excel file show. Anyway, our analysis runs the code on both calls and puts to account for non-perfect parity.</w:t>
      </w:r>
      <w:r w:rsidR="00006589">
        <w:rPr>
          <w:rFonts w:ascii="Cambria" w:eastAsia="Cambria" w:hAnsi="Cambria" w:cs="Cambria"/>
        </w:rPr>
        <w:t xml:space="preserve"> Given the irrelevant differences in the results, we decided only to report the call options findings.</w:t>
      </w:r>
    </w:p>
    <w:p w14:paraId="33A9B543" w14:textId="77777777" w:rsidR="0050395A" w:rsidRPr="00345BBA" w:rsidRDefault="003A3AD5" w:rsidP="007E66BF">
      <w:pPr>
        <w:widowControl w:val="0"/>
        <w:tabs>
          <w:tab w:val="right" w:pos="9630"/>
        </w:tabs>
        <w:spacing w:after="120"/>
        <w:jc w:val="both"/>
        <w:rPr>
          <w:rFonts w:ascii="Cambria" w:eastAsia="Cambria" w:hAnsi="Cambria" w:cs="Cambria"/>
          <w:color w:val="385623" w:themeColor="accent6" w:themeShade="80"/>
        </w:rPr>
      </w:pPr>
      <w:r w:rsidRPr="00345BBA">
        <w:rPr>
          <w:rFonts w:ascii="Cambria" w:eastAsia="Cambria" w:hAnsi="Cambria" w:cs="Cambria"/>
          <w:b/>
          <w:color w:val="385623" w:themeColor="accent6" w:themeShade="80"/>
          <w:sz w:val="32"/>
          <w:szCs w:val="32"/>
        </w:rPr>
        <w:t>Finding the Implied Volatility</w:t>
      </w:r>
    </w:p>
    <w:p w14:paraId="4D1E0AF9" w14:textId="77777777" w:rsidR="00E617AF" w:rsidRDefault="009E3AC0">
      <w:pPr>
        <w:widowControl w:val="0"/>
        <w:tabs>
          <w:tab w:val="right" w:pos="9630"/>
        </w:tabs>
        <w:spacing w:after="0"/>
        <w:jc w:val="both"/>
        <w:rPr>
          <w:rFonts w:ascii="Cambria" w:eastAsia="Cambria" w:hAnsi="Cambria" w:cs="Cambria"/>
        </w:rPr>
      </w:pPr>
      <w:r>
        <w:rPr>
          <w:rFonts w:ascii="Cambria" w:eastAsia="Cambria" w:hAnsi="Cambria" w:cs="Cambria"/>
        </w:rPr>
        <w:t xml:space="preserve">Our analysis relies on the Python language. </w:t>
      </w:r>
      <w:r w:rsidR="00056606">
        <w:rPr>
          <w:rFonts w:ascii="Cambria" w:eastAsia="Cambria" w:hAnsi="Cambria" w:cs="Cambria"/>
        </w:rPr>
        <w:t>After having stored the prices in lists, i</w:t>
      </w:r>
      <w:r w:rsidR="003A3AD5">
        <w:rPr>
          <w:rFonts w:ascii="Cambria" w:eastAsia="Cambria" w:hAnsi="Cambria" w:cs="Cambria"/>
        </w:rPr>
        <w:t xml:space="preserve">n order to infer the behavior of the IV, we implemented a custom function that, </w:t>
      </w:r>
      <w:r w:rsidR="00494B76">
        <w:rPr>
          <w:rFonts w:ascii="Cambria" w:eastAsia="Cambria" w:hAnsi="Cambria" w:cs="Cambria"/>
        </w:rPr>
        <w:t>given</w:t>
      </w:r>
      <w:r w:rsidR="003A3AD5">
        <w:rPr>
          <w:rFonts w:ascii="Cambria" w:eastAsia="Cambria" w:hAnsi="Cambria" w:cs="Cambria"/>
        </w:rPr>
        <w:t xml:space="preserve"> the option price observed in the market and  all the </w:t>
      </w:r>
      <w:r w:rsidR="00594CE3">
        <w:rPr>
          <w:rFonts w:ascii="Cambria" w:eastAsia="Cambria" w:hAnsi="Cambria" w:cs="Cambria"/>
        </w:rPr>
        <w:t xml:space="preserve">JD formula </w:t>
      </w:r>
      <w:r w:rsidR="003A3AD5">
        <w:rPr>
          <w:rFonts w:ascii="Cambria" w:eastAsia="Cambria" w:hAnsi="Cambria" w:cs="Cambria"/>
        </w:rPr>
        <w:t xml:space="preserve">variables </w:t>
      </w:r>
      <w:r w:rsidR="00BA254D">
        <w:rPr>
          <w:rFonts w:ascii="Cambria" w:eastAsia="Cambria" w:hAnsi="Cambria" w:cs="Cambria"/>
        </w:rPr>
        <w:t>(</w:t>
      </w:r>
      <w:r w:rsidR="003A3AD5">
        <w:rPr>
          <w:rFonts w:ascii="Cambria" w:eastAsia="Cambria" w:hAnsi="Cambria" w:cs="Cambria"/>
        </w:rPr>
        <w:t xml:space="preserve">except </w:t>
      </w:r>
      <w:r w:rsidR="00BA254D">
        <w:rPr>
          <w:rFonts w:ascii="Cambria" w:eastAsia="Cambria" w:hAnsi="Cambria" w:cs="Cambria"/>
        </w:rPr>
        <w:t xml:space="preserve">for </w:t>
      </w:r>
      <w:r w:rsidR="003A3AD5">
        <w:rPr>
          <w:rFonts w:ascii="Cambria" w:eastAsia="Cambria" w:hAnsi="Cambria" w:cs="Cambria"/>
        </w:rPr>
        <w:t>the volatility</w:t>
      </w:r>
      <w:r w:rsidR="00BA254D">
        <w:rPr>
          <w:rFonts w:ascii="Cambria" w:eastAsia="Cambria" w:hAnsi="Cambria" w:cs="Cambria"/>
        </w:rPr>
        <w:t>)</w:t>
      </w:r>
      <w:r w:rsidR="003A3AD5">
        <w:rPr>
          <w:rFonts w:ascii="Cambria" w:eastAsia="Cambria" w:hAnsi="Cambria" w:cs="Cambria"/>
        </w:rPr>
        <w:t>, returns</w:t>
      </w:r>
      <w:r w:rsidR="009B7664" w:rsidRPr="009B7664">
        <w:t xml:space="preserve"> </w:t>
      </w:r>
      <w:r w:rsidR="009B7664" w:rsidRPr="009B7664">
        <w:rPr>
          <w:rFonts w:ascii="Cambria" w:eastAsia="Cambria" w:hAnsi="Cambria" w:cs="Cambria"/>
        </w:rPr>
        <w:t>σ</w:t>
      </w:r>
      <w:r w:rsidR="009B7664">
        <w:rPr>
          <w:rFonts w:ascii="Cambria" w:eastAsia="Cambria" w:hAnsi="Cambria" w:cs="Cambria"/>
        </w:rPr>
        <w:t xml:space="preserve"> </w:t>
      </w:r>
      <w:r w:rsidR="00594CE3">
        <w:rPr>
          <w:rFonts w:ascii="Cambria" w:eastAsia="Cambria" w:hAnsi="Cambria" w:cs="Cambria"/>
        </w:rPr>
        <w:t xml:space="preserve">by </w:t>
      </w:r>
      <w:r w:rsidR="009B7664">
        <w:rPr>
          <w:rFonts w:ascii="Cambria" w:eastAsia="Cambria" w:hAnsi="Cambria" w:cs="Cambria"/>
        </w:rPr>
        <w:t>minimiz</w:t>
      </w:r>
      <w:r w:rsidR="00594CE3">
        <w:rPr>
          <w:rFonts w:ascii="Cambria" w:eastAsia="Cambria" w:hAnsi="Cambria" w:cs="Cambria"/>
        </w:rPr>
        <w:t>ing the difference</w:t>
      </w:r>
      <w:r w:rsidR="009B7664">
        <w:rPr>
          <w:rFonts w:ascii="Cambria" w:eastAsia="Cambria" w:hAnsi="Cambria" w:cs="Cambria"/>
        </w:rPr>
        <w:t xml:space="preserve"> </w:t>
      </w:r>
      <w:r w:rsidR="00960ADF">
        <w:rPr>
          <w:rFonts w:ascii="Cambria" w:eastAsia="Cambria" w:hAnsi="Cambria" w:cs="Cambria"/>
        </w:rPr>
        <w:t>between the market and theoretical price</w:t>
      </w:r>
      <w:r w:rsidR="003A3AD5">
        <w:rPr>
          <w:rFonts w:ascii="Cambria" w:eastAsia="Cambria" w:hAnsi="Cambria" w:cs="Cambria"/>
        </w:rPr>
        <w:t xml:space="preserve">. </w:t>
      </w:r>
    </w:p>
    <w:p w14:paraId="39DB3866" w14:textId="552617B2" w:rsidR="0050395A" w:rsidRDefault="00E617AF">
      <w:pPr>
        <w:widowControl w:val="0"/>
        <w:tabs>
          <w:tab w:val="right" w:pos="9630"/>
        </w:tabs>
        <w:spacing w:after="0"/>
        <w:jc w:val="both"/>
        <w:rPr>
          <w:rFonts w:ascii="Cambria" w:eastAsia="Cambria" w:hAnsi="Cambria" w:cs="Cambria"/>
        </w:rPr>
      </w:pPr>
      <w:r>
        <w:rPr>
          <w:rFonts w:ascii="Cambria" w:eastAsia="Cambria" w:hAnsi="Cambria" w:cs="Cambria"/>
        </w:rPr>
        <w:t>O</w:t>
      </w:r>
      <w:r w:rsidR="003A3AD5">
        <w:rPr>
          <w:rFonts w:ascii="Cambria" w:eastAsia="Cambria" w:hAnsi="Cambria" w:cs="Cambria"/>
        </w:rPr>
        <w:t>ur goal is not to merely observe singular IV values for a certain strike</w:t>
      </w:r>
      <w:r>
        <w:rPr>
          <w:rFonts w:ascii="Cambria" w:eastAsia="Cambria" w:hAnsi="Cambria" w:cs="Cambria"/>
        </w:rPr>
        <w:t>,</w:t>
      </w:r>
      <w:r w:rsidR="003A3AD5">
        <w:rPr>
          <w:rFonts w:ascii="Cambria" w:eastAsia="Cambria" w:hAnsi="Cambria" w:cs="Cambria"/>
        </w:rPr>
        <w:t xml:space="preserve"> but </w:t>
      </w:r>
      <w:r>
        <w:rPr>
          <w:rFonts w:ascii="Cambria" w:eastAsia="Cambria" w:hAnsi="Cambria" w:cs="Cambria"/>
        </w:rPr>
        <w:t xml:space="preserve">to </w:t>
      </w:r>
      <w:r w:rsidR="003A3AD5">
        <w:rPr>
          <w:rFonts w:ascii="Cambria" w:eastAsia="Cambria" w:hAnsi="Cambria" w:cs="Cambria"/>
        </w:rPr>
        <w:t>understand how it varies for different strikes and parameters.</w:t>
      </w:r>
      <w:r w:rsidR="003849C2">
        <w:rPr>
          <w:rFonts w:ascii="Cambria" w:eastAsia="Cambria" w:hAnsi="Cambria" w:cs="Cambria"/>
        </w:rPr>
        <w:t xml:space="preserve"> To </w:t>
      </w:r>
      <w:r w:rsidR="00610DEF">
        <w:rPr>
          <w:rFonts w:ascii="Cambria" w:eastAsia="Cambria" w:hAnsi="Cambria" w:cs="Cambria"/>
        </w:rPr>
        <w:t>render</w:t>
      </w:r>
      <w:r w:rsidR="003849C2">
        <w:rPr>
          <w:rFonts w:ascii="Cambria" w:eastAsia="Cambria" w:hAnsi="Cambria" w:cs="Cambria"/>
        </w:rPr>
        <w:t xml:space="preserve"> the results comparable,</w:t>
      </w:r>
      <w:r w:rsidR="003A3AD5">
        <w:rPr>
          <w:rFonts w:ascii="Cambria" w:eastAsia="Cambria" w:hAnsi="Cambria" w:cs="Cambria"/>
        </w:rPr>
        <w:t xml:space="preserve"> we decided to</w:t>
      </w:r>
      <w:r w:rsidR="00610DEF">
        <w:rPr>
          <w:rFonts w:ascii="Cambria" w:eastAsia="Cambria" w:hAnsi="Cambria" w:cs="Cambria"/>
        </w:rPr>
        <w:t>: first</w:t>
      </w:r>
      <w:r w:rsidR="003A3AD5">
        <w:rPr>
          <w:rFonts w:ascii="Cambria" w:eastAsia="Cambria" w:hAnsi="Cambria" w:cs="Cambria"/>
        </w:rPr>
        <w:t xml:space="preserve"> fix the </w:t>
      </w:r>
      <w:r w:rsidR="002D227A">
        <w:rPr>
          <w:rFonts w:ascii="Cambria" w:eastAsia="Cambria" w:hAnsi="Cambria" w:cs="Cambria"/>
        </w:rPr>
        <w:t>JD</w:t>
      </w:r>
      <w:r w:rsidR="003A3AD5">
        <w:rPr>
          <w:rFonts w:ascii="Cambria" w:eastAsia="Cambria" w:hAnsi="Cambria" w:cs="Cambria"/>
        </w:rPr>
        <w:t xml:space="preserve"> parameters at some discretionary values (</w:t>
      </w:r>
      <w:r w:rsidR="00655BFA">
        <w:rPr>
          <w:rFonts w:ascii="Cambria" w:eastAsia="Cambria" w:hAnsi="Cambria" w:cs="Cambria"/>
        </w:rPr>
        <w:t xml:space="preserve">α </w:t>
      </w:r>
      <w:r w:rsidR="003A3AD5">
        <w:rPr>
          <w:rFonts w:ascii="Cambria" w:eastAsia="Cambria" w:hAnsi="Cambria" w:cs="Cambria"/>
        </w:rPr>
        <w:t>=</w:t>
      </w:r>
      <w:r w:rsidR="00655BFA">
        <w:rPr>
          <w:rFonts w:ascii="Cambria" w:eastAsia="Cambria" w:hAnsi="Cambria" w:cs="Cambria"/>
        </w:rPr>
        <w:t xml:space="preserve"> </w:t>
      </w:r>
      <w:r w:rsidR="003A3AD5">
        <w:rPr>
          <w:rFonts w:ascii="Cambria" w:eastAsia="Cambria" w:hAnsi="Cambria" w:cs="Cambria"/>
        </w:rPr>
        <w:t>5</w:t>
      </w:r>
      <w:r w:rsidR="001B720E">
        <w:rPr>
          <w:rFonts w:ascii="Cambria" w:eastAsia="Cambria" w:hAnsi="Cambria" w:cs="Cambria"/>
        </w:rPr>
        <w:t>%</w:t>
      </w:r>
      <w:r w:rsidR="003A3AD5">
        <w:rPr>
          <w:rFonts w:ascii="Cambria" w:eastAsia="Cambria" w:hAnsi="Cambria" w:cs="Cambria"/>
        </w:rPr>
        <w:t xml:space="preserve">, </w:t>
      </w:r>
      <w:r w:rsidR="00655BFA">
        <w:rPr>
          <w:rFonts w:ascii="Cambria" w:eastAsia="Cambria" w:hAnsi="Cambria" w:cs="Cambria"/>
        </w:rPr>
        <w:t xml:space="preserve">β </w:t>
      </w:r>
      <w:r w:rsidR="003A3AD5">
        <w:rPr>
          <w:rFonts w:ascii="Cambria" w:eastAsia="Cambria" w:hAnsi="Cambria" w:cs="Cambria"/>
        </w:rPr>
        <w:t>=</w:t>
      </w:r>
      <w:r w:rsidR="00655BFA">
        <w:rPr>
          <w:rFonts w:ascii="Cambria" w:eastAsia="Cambria" w:hAnsi="Cambria" w:cs="Cambria"/>
        </w:rPr>
        <w:t xml:space="preserve"> </w:t>
      </w:r>
      <w:r w:rsidR="003A3AD5">
        <w:rPr>
          <w:rFonts w:ascii="Cambria" w:eastAsia="Cambria" w:hAnsi="Cambria" w:cs="Cambria"/>
        </w:rPr>
        <w:t>15</w:t>
      </w:r>
      <w:r w:rsidR="001B720E">
        <w:rPr>
          <w:rFonts w:ascii="Cambria" w:eastAsia="Cambria" w:hAnsi="Cambria" w:cs="Cambria"/>
        </w:rPr>
        <w:t>%</w:t>
      </w:r>
      <w:r w:rsidR="003A3AD5">
        <w:rPr>
          <w:rFonts w:ascii="Cambria" w:eastAsia="Cambria" w:hAnsi="Cambria" w:cs="Cambria"/>
        </w:rPr>
        <w:t xml:space="preserve">, </w:t>
      </w:r>
      <w:r w:rsidR="00655BFA">
        <w:rPr>
          <w:rFonts w:ascii="Cambria" w:eastAsia="Cambria" w:hAnsi="Cambria" w:cs="Cambria"/>
        </w:rPr>
        <w:t>λ</w:t>
      </w:r>
      <w:r w:rsidR="00655BFA">
        <w:rPr>
          <w:rFonts w:ascii="Cambria" w:eastAsia="Cambria" w:hAnsi="Cambria" w:cs="Cambria"/>
          <w:vertAlign w:val="superscript"/>
        </w:rPr>
        <w:t>P</w:t>
      </w:r>
      <w:r w:rsidR="00655BFA">
        <w:rPr>
          <w:rFonts w:ascii="Cambria" w:eastAsia="Cambria" w:hAnsi="Cambria" w:cs="Cambria"/>
        </w:rPr>
        <w:t xml:space="preserve"> </w:t>
      </w:r>
      <w:r w:rsidR="003A3AD5">
        <w:rPr>
          <w:rFonts w:ascii="Cambria" w:eastAsia="Cambria" w:hAnsi="Cambria" w:cs="Cambria"/>
        </w:rPr>
        <w:t>=</w:t>
      </w:r>
      <w:r w:rsidR="001B720E">
        <w:rPr>
          <w:rFonts w:ascii="Cambria" w:eastAsia="Cambria" w:hAnsi="Cambria" w:cs="Cambria"/>
        </w:rPr>
        <w:t xml:space="preserve"> </w:t>
      </w:r>
      <w:r w:rsidR="003A3AD5">
        <w:rPr>
          <w:rFonts w:ascii="Cambria" w:eastAsia="Cambria" w:hAnsi="Cambria" w:cs="Cambria"/>
        </w:rPr>
        <w:t xml:space="preserve">2 and </w:t>
      </w:r>
      <w:r w:rsidR="00655BFA">
        <w:rPr>
          <w:rFonts w:ascii="Cambria" w:eastAsia="Cambria" w:hAnsi="Cambria" w:cs="Cambria"/>
        </w:rPr>
        <w:t xml:space="preserve">ϕ </w:t>
      </w:r>
      <w:r w:rsidR="003A3AD5">
        <w:rPr>
          <w:rFonts w:ascii="Cambria" w:eastAsia="Cambria" w:hAnsi="Cambria" w:cs="Cambria"/>
        </w:rPr>
        <w:t>=</w:t>
      </w:r>
      <w:r w:rsidR="00655BFA">
        <w:rPr>
          <w:rFonts w:ascii="Cambria" w:eastAsia="Cambria" w:hAnsi="Cambria" w:cs="Cambria"/>
        </w:rPr>
        <w:t xml:space="preserve"> </w:t>
      </w:r>
      <w:r w:rsidR="003A3AD5">
        <w:rPr>
          <w:rFonts w:ascii="Cambria" w:eastAsia="Cambria" w:hAnsi="Cambria" w:cs="Cambria"/>
        </w:rPr>
        <w:t xml:space="preserve">1), </w:t>
      </w:r>
      <w:r w:rsidR="00610DEF">
        <w:rPr>
          <w:rFonts w:ascii="Cambria" w:eastAsia="Cambria" w:hAnsi="Cambria" w:cs="Cambria"/>
        </w:rPr>
        <w:t xml:space="preserve">then </w:t>
      </w:r>
      <w:r w:rsidR="002D227A">
        <w:rPr>
          <w:rFonts w:ascii="Cambria" w:eastAsia="Cambria" w:hAnsi="Cambria" w:cs="Cambria"/>
        </w:rPr>
        <w:t>tweak</w:t>
      </w:r>
      <w:r w:rsidR="00610DEF">
        <w:rPr>
          <w:rFonts w:ascii="Cambria" w:eastAsia="Cambria" w:hAnsi="Cambria" w:cs="Cambria"/>
        </w:rPr>
        <w:t xml:space="preserve"> each </w:t>
      </w:r>
      <w:r w:rsidR="003A3AD5">
        <w:rPr>
          <w:rFonts w:ascii="Cambria" w:eastAsia="Cambria" w:hAnsi="Cambria" w:cs="Cambria"/>
        </w:rPr>
        <w:t xml:space="preserve">one </w:t>
      </w:r>
      <w:r w:rsidR="00610DEF">
        <w:rPr>
          <w:rFonts w:ascii="Cambria" w:eastAsia="Cambria" w:hAnsi="Cambria" w:cs="Cambria"/>
        </w:rPr>
        <w:t xml:space="preserve">of </w:t>
      </w:r>
      <w:r w:rsidR="003A3AD5">
        <w:rPr>
          <w:rFonts w:ascii="Cambria" w:eastAsia="Cambria" w:hAnsi="Cambria" w:cs="Cambria"/>
        </w:rPr>
        <w:t>these</w:t>
      </w:r>
      <w:r w:rsidR="00BB2B11">
        <w:rPr>
          <w:rFonts w:ascii="Cambria" w:eastAsia="Cambria" w:hAnsi="Cambria" w:cs="Cambria"/>
        </w:rPr>
        <w:t>,</w:t>
      </w:r>
      <w:r w:rsidR="003A3AD5">
        <w:rPr>
          <w:rFonts w:ascii="Cambria" w:eastAsia="Cambria" w:hAnsi="Cambria" w:cs="Cambria"/>
        </w:rPr>
        <w:t xml:space="preserve"> ceteris paribus</w:t>
      </w:r>
      <w:r w:rsidR="00BB2B11">
        <w:rPr>
          <w:rFonts w:ascii="Cambria" w:eastAsia="Cambria" w:hAnsi="Cambria" w:cs="Cambria"/>
        </w:rPr>
        <w:t>,</w:t>
      </w:r>
      <w:r w:rsidR="003A3AD5">
        <w:rPr>
          <w:rFonts w:ascii="Cambria" w:eastAsia="Cambria" w:hAnsi="Cambria" w:cs="Cambria"/>
        </w:rPr>
        <w:t xml:space="preserve"> for different strikes</w:t>
      </w:r>
      <w:r w:rsidR="00BB2B11">
        <w:rPr>
          <w:rFonts w:ascii="Cambria" w:eastAsia="Cambria" w:hAnsi="Cambria" w:cs="Cambria"/>
        </w:rPr>
        <w:t>, plotting</w:t>
      </w:r>
      <w:r w:rsidR="003A3AD5">
        <w:rPr>
          <w:rFonts w:ascii="Cambria" w:eastAsia="Cambria" w:hAnsi="Cambria" w:cs="Cambria"/>
        </w:rPr>
        <w:t xml:space="preserve"> the </w:t>
      </w:r>
      <w:r w:rsidR="00BB2B11">
        <w:rPr>
          <w:rFonts w:ascii="Cambria" w:eastAsia="Cambria" w:hAnsi="Cambria" w:cs="Cambria"/>
        </w:rPr>
        <w:t xml:space="preserve">generated </w:t>
      </w:r>
      <w:r w:rsidR="003A3AD5">
        <w:rPr>
          <w:rFonts w:ascii="Cambria" w:eastAsia="Cambria" w:hAnsi="Cambria" w:cs="Cambria"/>
        </w:rPr>
        <w:t xml:space="preserve">implied volatility surface. For instance, in </w:t>
      </w:r>
      <w:r w:rsidR="00051E73">
        <w:rPr>
          <w:rFonts w:ascii="Cambria" w:eastAsia="Cambria" w:hAnsi="Cambria" w:cs="Cambria"/>
        </w:rPr>
        <w:t xml:space="preserve">the case of α, </w:t>
      </w:r>
      <w:r w:rsidR="003A3AD5">
        <w:rPr>
          <w:rFonts w:ascii="Cambria" w:eastAsia="Cambria" w:hAnsi="Cambria" w:cs="Cambria"/>
        </w:rPr>
        <w:t xml:space="preserve">the implied volatility </w:t>
      </w:r>
      <w:r w:rsidR="00051E73">
        <w:rPr>
          <w:rFonts w:ascii="Cambria" w:eastAsia="Cambria" w:hAnsi="Cambria" w:cs="Cambria"/>
        </w:rPr>
        <w:t xml:space="preserve">was computed </w:t>
      </w:r>
      <w:r w:rsidR="002F7E2C">
        <w:rPr>
          <w:rFonts w:ascii="Cambria" w:eastAsia="Cambria" w:hAnsi="Cambria" w:cs="Cambria"/>
        </w:rPr>
        <w:t>for</w:t>
      </w:r>
      <w:r w:rsidR="003A3AD5">
        <w:rPr>
          <w:rFonts w:ascii="Cambria" w:eastAsia="Cambria" w:hAnsi="Cambria" w:cs="Cambria"/>
        </w:rPr>
        <w:t xml:space="preserve"> 25 different strikes and 10 different </w:t>
      </w:r>
      <w:r w:rsidR="009513BF">
        <w:rPr>
          <w:rFonts w:ascii="Cambria" w:eastAsia="Cambria" w:hAnsi="Cambria" w:cs="Cambria"/>
        </w:rPr>
        <w:t xml:space="preserve">α </w:t>
      </w:r>
      <w:r w:rsidR="008445AB">
        <w:rPr>
          <w:rFonts w:ascii="Cambria" w:eastAsia="Cambria" w:hAnsi="Cambria" w:cs="Cambria"/>
        </w:rPr>
        <w:t xml:space="preserve">(equally spacing between -0.2 </w:t>
      </w:r>
      <w:r w:rsidR="0045395B">
        <w:rPr>
          <w:rFonts w:ascii="Cambria" w:eastAsia="Cambria" w:hAnsi="Cambria" w:cs="Cambria"/>
        </w:rPr>
        <w:t>and</w:t>
      </w:r>
      <w:r w:rsidR="008445AB">
        <w:rPr>
          <w:rFonts w:ascii="Cambria" w:eastAsia="Cambria" w:hAnsi="Cambria" w:cs="Cambria"/>
        </w:rPr>
        <w:t xml:space="preserve"> 0.2) </w:t>
      </w:r>
      <w:r w:rsidR="003A3AD5">
        <w:rPr>
          <w:rFonts w:ascii="Cambria" w:eastAsia="Cambria" w:hAnsi="Cambria" w:cs="Cambria"/>
        </w:rPr>
        <w:t>for a total of 250 IV values.</w:t>
      </w:r>
    </w:p>
    <w:p w14:paraId="034920CC" w14:textId="7B350B40" w:rsidR="00F762A1" w:rsidRDefault="001B720E" w:rsidP="00F762A1">
      <w:pPr>
        <w:widowControl w:val="0"/>
        <w:tabs>
          <w:tab w:val="right" w:pos="9630"/>
        </w:tabs>
        <w:spacing w:after="0"/>
        <w:jc w:val="both"/>
        <w:rPr>
          <w:rFonts w:ascii="Cambria" w:eastAsia="Cambria" w:hAnsi="Cambria" w:cs="Cambria"/>
        </w:rPr>
      </w:pPr>
      <w:r>
        <w:rPr>
          <w:rFonts w:ascii="Cambria" w:eastAsia="Cambria" w:hAnsi="Cambria" w:cs="Cambria"/>
        </w:rPr>
        <w:t>One criti</w:t>
      </w:r>
      <w:r w:rsidR="00BE5101">
        <w:rPr>
          <w:rFonts w:ascii="Cambria" w:eastAsia="Cambria" w:hAnsi="Cambria" w:cs="Cambria"/>
        </w:rPr>
        <w:t>cism</w:t>
      </w:r>
      <w:r>
        <w:rPr>
          <w:rFonts w:ascii="Cambria" w:eastAsia="Cambria" w:hAnsi="Cambria" w:cs="Cambria"/>
        </w:rPr>
        <w:t xml:space="preserve"> of our work is that the parameters are far from what one would get by calibrating the model. Indeed, Andersen and Andreasen (2001) perform </w:t>
      </w:r>
      <w:r w:rsidR="00C11777">
        <w:rPr>
          <w:rFonts w:ascii="Cambria" w:eastAsia="Cambria" w:hAnsi="Cambria" w:cs="Cambria"/>
        </w:rPr>
        <w:t>the</w:t>
      </w:r>
      <w:r>
        <w:rPr>
          <w:rFonts w:ascii="Cambria" w:eastAsia="Cambria" w:hAnsi="Cambria" w:cs="Cambria"/>
        </w:rPr>
        <w:t xml:space="preserve"> calibration on the S&amp;P 500 options using our framework and obtaining α = -88.98%, β = 45.05%, λ</w:t>
      </w:r>
      <w:r>
        <w:rPr>
          <w:rFonts w:ascii="Cambria" w:eastAsia="Cambria" w:hAnsi="Cambria" w:cs="Cambria"/>
          <w:vertAlign w:val="superscript"/>
        </w:rPr>
        <w:t>P</w:t>
      </w:r>
      <w:r>
        <w:rPr>
          <w:rFonts w:ascii="Cambria" w:eastAsia="Cambria" w:hAnsi="Cambria" w:cs="Cambria"/>
        </w:rPr>
        <w:t xml:space="preserve"> = 8.90% (although imposing ϕ = 1 and </w:t>
      </w:r>
      <w:r w:rsidR="00840BD6">
        <w:rPr>
          <w:rFonts w:ascii="Cambria" w:eastAsia="Cambria" w:hAnsi="Cambria" w:cs="Cambria"/>
        </w:rPr>
        <w:t>one</w:t>
      </w:r>
      <w:r>
        <w:rPr>
          <w:rFonts w:ascii="Cambria" w:eastAsia="Cambria" w:hAnsi="Cambria" w:cs="Cambria"/>
        </w:rPr>
        <w:t xml:space="preserve"> average volatility </w:t>
      </w:r>
      <w:r w:rsidR="00346B7E">
        <w:rPr>
          <w:rFonts w:ascii="Cambria" w:eastAsia="Cambria" w:hAnsi="Cambria" w:cs="Cambria"/>
        </w:rPr>
        <w:t>instead of the skew</w:t>
      </w:r>
      <w:r>
        <w:rPr>
          <w:rFonts w:ascii="Cambria" w:eastAsia="Cambria" w:hAnsi="Cambria" w:cs="Cambria"/>
        </w:rPr>
        <w:t>)</w:t>
      </w:r>
      <w:r w:rsidR="00C11777">
        <w:rPr>
          <w:rFonts w:ascii="Cambria" w:eastAsia="Cambria" w:hAnsi="Cambria" w:cs="Cambria"/>
        </w:rPr>
        <w:t xml:space="preserve">, which make intuitive sense since </w:t>
      </w:r>
      <w:r w:rsidR="00591FB2">
        <w:rPr>
          <w:rFonts w:ascii="Cambria" w:eastAsia="Cambria" w:hAnsi="Cambria" w:cs="Cambria"/>
        </w:rPr>
        <w:t xml:space="preserve">the relevant </w:t>
      </w:r>
      <w:r w:rsidR="00C11777">
        <w:rPr>
          <w:rFonts w:ascii="Cambria" w:eastAsia="Cambria" w:hAnsi="Cambria" w:cs="Cambria"/>
        </w:rPr>
        <w:t xml:space="preserve">jumps are </w:t>
      </w:r>
      <w:r w:rsidR="00591FB2">
        <w:rPr>
          <w:rFonts w:ascii="Cambria" w:eastAsia="Cambria" w:hAnsi="Cambria" w:cs="Cambria"/>
        </w:rPr>
        <w:t xml:space="preserve">more </w:t>
      </w:r>
      <w:r w:rsidR="00C11777">
        <w:rPr>
          <w:rFonts w:ascii="Cambria" w:eastAsia="Cambria" w:hAnsi="Cambria" w:cs="Cambria"/>
        </w:rPr>
        <w:t xml:space="preserve">likely to </w:t>
      </w:r>
      <w:r w:rsidR="00591FB2">
        <w:rPr>
          <w:rFonts w:ascii="Cambria" w:eastAsia="Cambria" w:hAnsi="Cambria" w:cs="Cambria"/>
        </w:rPr>
        <w:t xml:space="preserve">be </w:t>
      </w:r>
      <w:r w:rsidR="00C11777">
        <w:rPr>
          <w:rFonts w:ascii="Cambria" w:eastAsia="Cambria" w:hAnsi="Cambria" w:cs="Cambria"/>
        </w:rPr>
        <w:t>negative</w:t>
      </w:r>
      <w:r>
        <w:rPr>
          <w:rFonts w:ascii="Cambria" w:eastAsia="Cambria" w:hAnsi="Cambria" w:cs="Cambria"/>
        </w:rPr>
        <w:t xml:space="preserve">. </w:t>
      </w:r>
      <w:r w:rsidR="001B2795">
        <w:rPr>
          <w:rFonts w:ascii="Cambria" w:eastAsia="Cambria" w:hAnsi="Cambria" w:cs="Cambria"/>
        </w:rPr>
        <w:t xml:space="preserve">Moreover, we use the parameter values for the two sets of options, despite the two markets having quite different historical behavior. </w:t>
      </w:r>
      <w:r w:rsidR="00C11777">
        <w:rPr>
          <w:rFonts w:ascii="Cambria" w:eastAsia="Cambria" w:hAnsi="Cambria" w:cs="Cambria"/>
        </w:rPr>
        <w:t>However, we only aim</w:t>
      </w:r>
      <w:r w:rsidR="003A3AD5">
        <w:rPr>
          <w:rFonts w:ascii="Cambria" w:eastAsia="Cambria" w:hAnsi="Cambria" w:cs="Cambria"/>
        </w:rPr>
        <w:t xml:space="preserve"> </w:t>
      </w:r>
      <w:r w:rsidR="001B2795">
        <w:rPr>
          <w:rFonts w:ascii="Cambria" w:eastAsia="Cambria" w:hAnsi="Cambria" w:cs="Cambria"/>
        </w:rPr>
        <w:t>at</w:t>
      </w:r>
      <w:r w:rsidR="003A3AD5">
        <w:rPr>
          <w:rFonts w:ascii="Cambria" w:eastAsia="Cambria" w:hAnsi="Cambria" w:cs="Cambria"/>
        </w:rPr>
        <w:t xml:space="preserve"> stud</w:t>
      </w:r>
      <w:r w:rsidR="001B2795">
        <w:rPr>
          <w:rFonts w:ascii="Cambria" w:eastAsia="Cambria" w:hAnsi="Cambria" w:cs="Cambria"/>
        </w:rPr>
        <w:t>ying</w:t>
      </w:r>
      <w:r w:rsidR="003A3AD5">
        <w:rPr>
          <w:rFonts w:ascii="Cambria" w:eastAsia="Cambria" w:hAnsi="Cambria" w:cs="Cambria"/>
        </w:rPr>
        <w:t xml:space="preserve"> the effects of the various parameters on the IV surface</w:t>
      </w:r>
      <w:r w:rsidR="004D19D2">
        <w:rPr>
          <w:rFonts w:ascii="Cambria" w:eastAsia="Cambria" w:hAnsi="Cambria" w:cs="Cambria"/>
        </w:rPr>
        <w:t>,</w:t>
      </w:r>
      <w:r w:rsidR="003A3AD5">
        <w:rPr>
          <w:rFonts w:ascii="Cambria" w:eastAsia="Cambria" w:hAnsi="Cambria" w:cs="Cambria"/>
        </w:rPr>
        <w:t xml:space="preserve"> without </w:t>
      </w:r>
      <w:r w:rsidR="004D19D2">
        <w:rPr>
          <w:rFonts w:ascii="Cambria" w:eastAsia="Cambria" w:hAnsi="Cambria" w:cs="Cambria"/>
        </w:rPr>
        <w:t xml:space="preserve">any </w:t>
      </w:r>
      <w:r w:rsidR="003A3AD5">
        <w:rPr>
          <w:rFonts w:ascii="Cambria" w:eastAsia="Cambria" w:hAnsi="Cambria" w:cs="Cambria"/>
        </w:rPr>
        <w:t>calibrat</w:t>
      </w:r>
      <w:r w:rsidR="004D19D2">
        <w:rPr>
          <w:rFonts w:ascii="Cambria" w:eastAsia="Cambria" w:hAnsi="Cambria" w:cs="Cambria"/>
        </w:rPr>
        <w:t>ion</w:t>
      </w:r>
      <w:r w:rsidR="003A3AD5">
        <w:rPr>
          <w:rFonts w:ascii="Cambria" w:eastAsia="Cambria" w:hAnsi="Cambria" w:cs="Cambria"/>
        </w:rPr>
        <w:t xml:space="preserve"> to match market values</w:t>
      </w:r>
      <w:r w:rsidR="008D41E2">
        <w:rPr>
          <w:rFonts w:ascii="Cambria" w:eastAsia="Cambria" w:hAnsi="Cambria" w:cs="Cambria"/>
        </w:rPr>
        <w:t>, and proposing different values for the two markets</w:t>
      </w:r>
      <w:r w:rsidR="00D747E0">
        <w:rPr>
          <w:rFonts w:ascii="Cambria" w:eastAsia="Cambria" w:hAnsi="Cambria" w:cs="Cambria"/>
        </w:rPr>
        <w:t xml:space="preserve"> would </w:t>
      </w:r>
      <w:r w:rsidR="008D41E2">
        <w:rPr>
          <w:rFonts w:ascii="Cambria" w:eastAsia="Cambria" w:hAnsi="Cambria" w:cs="Cambria"/>
        </w:rPr>
        <w:t xml:space="preserve">be </w:t>
      </w:r>
      <w:r w:rsidR="00D747E0">
        <w:rPr>
          <w:rFonts w:ascii="Cambria" w:eastAsia="Cambria" w:hAnsi="Cambria" w:cs="Cambria"/>
        </w:rPr>
        <w:t>totally</w:t>
      </w:r>
      <w:r w:rsidR="008D41E2">
        <w:rPr>
          <w:rFonts w:ascii="Cambria" w:eastAsia="Cambria" w:hAnsi="Cambria" w:cs="Cambria"/>
        </w:rPr>
        <w:t xml:space="preserve"> arbitrary</w:t>
      </w:r>
      <w:r w:rsidR="004D19D2">
        <w:rPr>
          <w:rFonts w:ascii="Cambria" w:eastAsia="Cambria" w:hAnsi="Cambria" w:cs="Cambria"/>
        </w:rPr>
        <w:t>.</w:t>
      </w:r>
      <w:r w:rsidR="003A3AD5">
        <w:rPr>
          <w:rFonts w:ascii="Cambria" w:eastAsia="Cambria" w:hAnsi="Cambria" w:cs="Cambria"/>
        </w:rPr>
        <w:t xml:space="preserve"> </w:t>
      </w:r>
      <w:r w:rsidR="00DE5680">
        <w:rPr>
          <w:rFonts w:ascii="Cambria" w:eastAsia="Cambria" w:hAnsi="Cambria" w:cs="Cambria"/>
        </w:rPr>
        <w:t>One consequence is that, in the optimization exercise, the volatility often reach</w:t>
      </w:r>
      <w:r w:rsidR="00B56E45">
        <w:rPr>
          <w:rFonts w:ascii="Cambria" w:eastAsia="Cambria" w:hAnsi="Cambria" w:cs="Cambria"/>
        </w:rPr>
        <w:t>es</w:t>
      </w:r>
      <w:r w:rsidR="00DE5680">
        <w:rPr>
          <w:rFonts w:ascii="Cambria" w:eastAsia="Cambria" w:hAnsi="Cambria" w:cs="Cambria"/>
        </w:rPr>
        <w:t xml:space="preserve"> unreasonable </w:t>
      </w:r>
      <w:r w:rsidR="003A3AD5">
        <w:rPr>
          <w:rFonts w:ascii="Cambria" w:eastAsia="Cambria" w:hAnsi="Cambria" w:cs="Cambria"/>
        </w:rPr>
        <w:t>values</w:t>
      </w:r>
      <w:r w:rsidR="00DE5680">
        <w:rPr>
          <w:rFonts w:ascii="Cambria" w:eastAsia="Cambria" w:hAnsi="Cambria" w:cs="Cambria"/>
        </w:rPr>
        <w:t xml:space="preserve"> given our theoretical framework (it is hard to justify </w:t>
      </w:r>
      <w:r w:rsidR="00DE5680" w:rsidRPr="00DE5680">
        <w:rPr>
          <w:rFonts w:ascii="Cambria" w:eastAsia="Cambria" w:hAnsi="Cambria" w:cs="Cambria"/>
        </w:rPr>
        <w:t>σ</w:t>
      </w:r>
      <w:r w:rsidR="00DE5680">
        <w:rPr>
          <w:rFonts w:ascii="Cambria" w:eastAsia="Cambria" w:hAnsi="Cambria" w:cs="Cambria"/>
        </w:rPr>
        <w:t xml:space="preserve"> = 0 or σ &gt; 100% for </w:t>
      </w:r>
      <w:r w:rsidR="004C6E20">
        <w:rPr>
          <w:rFonts w:ascii="Cambria" w:eastAsia="Cambria" w:hAnsi="Cambria" w:cs="Cambria"/>
        </w:rPr>
        <w:t xml:space="preserve">a </w:t>
      </w:r>
      <w:r w:rsidR="004C17E0">
        <w:rPr>
          <w:rFonts w:ascii="Cambria" w:eastAsia="Cambria" w:hAnsi="Cambria" w:cs="Cambria"/>
        </w:rPr>
        <w:t xml:space="preserve">value-weighted </w:t>
      </w:r>
      <w:r w:rsidR="00DE5680">
        <w:rPr>
          <w:rFonts w:ascii="Cambria" w:eastAsia="Cambria" w:hAnsi="Cambria" w:cs="Cambria"/>
        </w:rPr>
        <w:t>market</w:t>
      </w:r>
      <w:r w:rsidR="004C6E20">
        <w:rPr>
          <w:rFonts w:ascii="Cambria" w:eastAsia="Cambria" w:hAnsi="Cambria" w:cs="Cambria"/>
        </w:rPr>
        <w:t xml:space="preserve"> index like the S&amp;P 500</w:t>
      </w:r>
      <w:r w:rsidR="00DE5680">
        <w:rPr>
          <w:rFonts w:ascii="Cambria" w:eastAsia="Cambria" w:hAnsi="Cambria" w:cs="Cambria"/>
        </w:rPr>
        <w:t>)</w:t>
      </w:r>
      <w:r w:rsidR="003A3AD5">
        <w:rPr>
          <w:rFonts w:ascii="Cambria" w:eastAsia="Cambria" w:hAnsi="Cambria" w:cs="Cambria"/>
        </w:rPr>
        <w:t>.</w:t>
      </w:r>
      <w:r w:rsidR="001B2795">
        <w:rPr>
          <w:rFonts w:ascii="Cambria" w:eastAsia="Cambria" w:hAnsi="Cambria" w:cs="Cambria"/>
        </w:rPr>
        <w:t xml:space="preserve"> </w:t>
      </w:r>
    </w:p>
    <w:p w14:paraId="2A440844" w14:textId="1966BF03" w:rsidR="00F762A1" w:rsidRDefault="00F762A1" w:rsidP="00C64031">
      <w:pPr>
        <w:widowControl w:val="0"/>
        <w:tabs>
          <w:tab w:val="right" w:pos="9630"/>
        </w:tabs>
        <w:spacing w:after="240"/>
        <w:jc w:val="both"/>
        <w:rPr>
          <w:rFonts w:ascii="Cambria" w:eastAsia="Cambria" w:hAnsi="Cambria" w:cs="Cambria"/>
        </w:rPr>
      </w:pPr>
      <w:r>
        <w:rPr>
          <w:rFonts w:ascii="Cambria" w:eastAsia="Cambria" w:hAnsi="Cambria" w:cs="Cambria"/>
        </w:rPr>
        <w:t xml:space="preserve">Regarding the code, we used several well-known Python libraries such as </w:t>
      </w:r>
      <w:proofErr w:type="spellStart"/>
      <w:r>
        <w:rPr>
          <w:rFonts w:ascii="Cambria" w:eastAsia="Cambria" w:hAnsi="Cambria" w:cs="Cambria"/>
        </w:rPr>
        <w:t>Numpy</w:t>
      </w:r>
      <w:proofErr w:type="spellEnd"/>
      <w:r>
        <w:rPr>
          <w:rFonts w:ascii="Cambria" w:eastAsia="Cambria" w:hAnsi="Cambria" w:cs="Cambria"/>
        </w:rPr>
        <w:t xml:space="preserve">, Pandas, </w:t>
      </w:r>
      <w:proofErr w:type="spellStart"/>
      <w:r>
        <w:rPr>
          <w:rFonts w:ascii="Cambria" w:eastAsia="Cambria" w:hAnsi="Cambria" w:cs="Cambria"/>
        </w:rPr>
        <w:t>Scipy</w:t>
      </w:r>
      <w:proofErr w:type="spellEnd"/>
      <w:r>
        <w:rPr>
          <w:rFonts w:ascii="Cambria" w:eastAsia="Cambria" w:hAnsi="Cambria" w:cs="Cambria"/>
        </w:rPr>
        <w:t xml:space="preserve"> and Matplotlib. We decided to use Python because it allowed us a level of flexibility that we could not find with another language. The final code is quite readable in our opinion. There are several computations involved, since for each graph, as explained above, hundreds of optimizations are involved and each one iterates over the difference between theoretical and market price. This makes the running a bit heavy but, in general, not excessive. In the sections where the optimizer operates both calls and puts results are computed within the same block for </w:t>
      </w:r>
      <w:r w:rsidR="00C64031">
        <w:rPr>
          <w:rFonts w:ascii="Cambria" w:eastAsia="Cambria" w:hAnsi="Cambria" w:cs="Cambria"/>
        </w:rPr>
        <w:t xml:space="preserve">each </w:t>
      </w:r>
      <w:r>
        <w:rPr>
          <w:rFonts w:ascii="Cambria" w:eastAsia="Cambria" w:hAnsi="Cambria" w:cs="Cambria"/>
        </w:rPr>
        <w:t xml:space="preserve">parameter and </w:t>
      </w:r>
      <w:r w:rsidR="00C64031">
        <w:rPr>
          <w:rFonts w:ascii="Cambria" w:eastAsia="Cambria" w:hAnsi="Cambria" w:cs="Cambria"/>
        </w:rPr>
        <w:t>the iterations usually take around 90 seconds.</w:t>
      </w:r>
    </w:p>
    <w:p w14:paraId="4EA09B0D" w14:textId="3EF04B8E" w:rsidR="0050395A" w:rsidRPr="00F762A1" w:rsidRDefault="00A8254B" w:rsidP="00F762A1">
      <w:pPr>
        <w:widowControl w:val="0"/>
        <w:tabs>
          <w:tab w:val="right" w:pos="9630"/>
        </w:tabs>
        <w:spacing w:after="120"/>
        <w:jc w:val="both"/>
        <w:rPr>
          <w:rFonts w:ascii="Cambria" w:eastAsia="Cambria" w:hAnsi="Cambria" w:cs="Cambria"/>
          <w:color w:val="385623" w:themeColor="accent6" w:themeShade="80"/>
        </w:rPr>
      </w:pPr>
      <w:r>
        <w:rPr>
          <w:rFonts w:ascii="Cambria" w:eastAsia="Cambria" w:hAnsi="Cambria" w:cs="Cambria"/>
          <w:b/>
          <w:color w:val="385623" w:themeColor="accent6" w:themeShade="80"/>
          <w:sz w:val="32"/>
          <w:szCs w:val="32"/>
        </w:rPr>
        <w:t xml:space="preserve">Sensitivity Analysis 1 - </w:t>
      </w:r>
      <w:r w:rsidR="003A3AD5" w:rsidRPr="00F762A1">
        <w:rPr>
          <w:rFonts w:ascii="Cambria" w:eastAsia="Cambria" w:hAnsi="Cambria" w:cs="Cambria"/>
          <w:b/>
          <w:color w:val="385623" w:themeColor="accent6" w:themeShade="80"/>
          <w:sz w:val="32"/>
          <w:szCs w:val="32"/>
        </w:rPr>
        <w:t>A</w:t>
      </w:r>
      <w:r>
        <w:rPr>
          <w:rFonts w:ascii="Cambria" w:eastAsia="Cambria" w:hAnsi="Cambria" w:cs="Cambria"/>
          <w:b/>
          <w:color w:val="385623" w:themeColor="accent6" w:themeShade="80"/>
          <w:sz w:val="32"/>
          <w:szCs w:val="32"/>
        </w:rPr>
        <w:t>lpha</w:t>
      </w:r>
    </w:p>
    <w:p w14:paraId="4894019F" w14:textId="70E35B78" w:rsidR="00C64031" w:rsidRDefault="00C64031" w:rsidP="004A4EC3">
      <w:pPr>
        <w:widowControl w:val="0"/>
        <w:tabs>
          <w:tab w:val="right" w:pos="9630"/>
        </w:tabs>
        <w:spacing w:after="3840"/>
        <w:jc w:val="both"/>
        <w:rPr>
          <w:rFonts w:ascii="Cambria" w:eastAsia="Cambria" w:hAnsi="Cambria" w:cs="Cambria"/>
        </w:rPr>
      </w:pPr>
      <w:r>
        <w:rPr>
          <w:rFonts w:ascii="Cambria" w:eastAsia="Cambria" w:hAnsi="Cambria" w:cs="Cambria"/>
        </w:rPr>
        <w:t xml:space="preserve">The first parameter that we consider is the expected value of the logarithm of the jump diffusion, α. We </w:t>
      </w:r>
      <w:r w:rsidR="003A3AD5">
        <w:rPr>
          <w:rFonts w:ascii="Cambria" w:eastAsia="Cambria" w:hAnsi="Cambria" w:cs="Cambria"/>
        </w:rPr>
        <w:t>let it vary between -2</w:t>
      </w:r>
      <w:r>
        <w:rPr>
          <w:rFonts w:ascii="Cambria" w:eastAsia="Cambria" w:hAnsi="Cambria" w:cs="Cambria"/>
        </w:rPr>
        <w:t>0%</w:t>
      </w:r>
      <w:r w:rsidR="003A3AD5">
        <w:rPr>
          <w:rFonts w:ascii="Cambria" w:eastAsia="Cambria" w:hAnsi="Cambria" w:cs="Cambria"/>
        </w:rPr>
        <w:t xml:space="preserve"> and 2</w:t>
      </w:r>
      <w:r>
        <w:rPr>
          <w:rFonts w:ascii="Cambria" w:eastAsia="Cambria" w:hAnsi="Cambria" w:cs="Cambria"/>
        </w:rPr>
        <w:t>0% and we consider 10 equally spaced values.</w:t>
      </w:r>
      <w:r w:rsidRPr="00C64031">
        <w:t xml:space="preserve"> </w:t>
      </w:r>
      <w:r>
        <w:t xml:space="preserve">With β = 15%, this means </w:t>
      </w:r>
      <w:r>
        <w:lastRenderedPageBreak/>
        <w:t xml:space="preserve">that the expected value of the jump goes from -17.2% to +23.5% of the stock price. </w:t>
      </w:r>
      <w:r w:rsidRPr="00C64031">
        <w:rPr>
          <w:rFonts w:ascii="Cambria" w:eastAsia="Cambria" w:hAnsi="Cambria" w:cs="Cambria"/>
        </w:rPr>
        <w:t xml:space="preserve">As it can be noticed from the </w:t>
      </w:r>
      <w:r>
        <w:rPr>
          <w:rFonts w:ascii="Cambria" w:eastAsia="Cambria" w:hAnsi="Cambria" w:cs="Cambria"/>
        </w:rPr>
        <w:t xml:space="preserve">following </w:t>
      </w:r>
      <w:r w:rsidRPr="00C64031">
        <w:rPr>
          <w:rFonts w:ascii="Cambria" w:eastAsia="Cambria" w:hAnsi="Cambria" w:cs="Cambria"/>
        </w:rPr>
        <w:t xml:space="preserve">graphs, the implied volatility decays </w:t>
      </w:r>
      <w:r>
        <w:rPr>
          <w:rFonts w:ascii="Cambria" w:eastAsia="Cambria" w:hAnsi="Cambria" w:cs="Cambria"/>
        </w:rPr>
        <w:t xml:space="preserve">as the </w:t>
      </w:r>
      <w:r w:rsidRPr="00C64031">
        <w:rPr>
          <w:rFonts w:ascii="Cambria" w:eastAsia="Cambria" w:hAnsi="Cambria" w:cs="Cambria"/>
        </w:rPr>
        <w:t xml:space="preserve">strike </w:t>
      </w:r>
      <w:r>
        <w:rPr>
          <w:rFonts w:ascii="Cambria" w:eastAsia="Cambria" w:hAnsi="Cambria" w:cs="Cambria"/>
        </w:rPr>
        <w:t xml:space="preserve">increases </w:t>
      </w:r>
      <w:r w:rsidRPr="00C64031">
        <w:rPr>
          <w:rFonts w:ascii="Cambria" w:eastAsia="Cambria" w:hAnsi="Cambria" w:cs="Cambria"/>
        </w:rPr>
        <w:t xml:space="preserve">(delineating the classical skew) </w:t>
      </w:r>
      <w:r w:rsidR="007140BB" w:rsidRPr="00E06AC6">
        <w:rPr>
          <w:noProof/>
        </w:rPr>
        <w:drawing>
          <wp:anchor distT="0" distB="0" distL="114300" distR="114300" simplePos="0" relativeHeight="251667456" behindDoc="0" locked="0" layoutInCell="1" allowOverlap="1" wp14:anchorId="6EA3A28D" wp14:editId="4B0181F7">
            <wp:simplePos x="0" y="0"/>
            <wp:positionH relativeFrom="column">
              <wp:posOffset>3135630</wp:posOffset>
            </wp:positionH>
            <wp:positionV relativeFrom="paragraph">
              <wp:posOffset>548005</wp:posOffset>
            </wp:positionV>
            <wp:extent cx="2886710" cy="2644140"/>
            <wp:effectExtent l="0" t="0" r="889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21" t="2407" r="1421" b="2407"/>
                    <a:stretch/>
                  </pic:blipFill>
                  <pic:spPr>
                    <a:xfrm>
                      <a:off x="0" y="0"/>
                      <a:ext cx="2886710" cy="2644140"/>
                    </a:xfrm>
                    <a:prstGeom prst="rect">
                      <a:avLst/>
                    </a:prstGeom>
                  </pic:spPr>
                </pic:pic>
              </a:graphicData>
            </a:graphic>
            <wp14:sizeRelH relativeFrom="page">
              <wp14:pctWidth>0</wp14:pctWidth>
            </wp14:sizeRelH>
            <wp14:sizeRelV relativeFrom="page">
              <wp14:pctHeight>0</wp14:pctHeight>
            </wp14:sizeRelV>
          </wp:anchor>
        </w:drawing>
      </w:r>
      <w:r w:rsidR="007140BB" w:rsidRPr="005B7CD7">
        <w:rPr>
          <w:noProof/>
        </w:rPr>
        <w:drawing>
          <wp:anchor distT="0" distB="0" distL="114300" distR="114300" simplePos="0" relativeHeight="251666432" behindDoc="0" locked="0" layoutInCell="1" allowOverlap="1" wp14:anchorId="1618DB78" wp14:editId="5E7F0C23">
            <wp:simplePos x="0" y="0"/>
            <wp:positionH relativeFrom="column">
              <wp:posOffset>68580</wp:posOffset>
            </wp:positionH>
            <wp:positionV relativeFrom="paragraph">
              <wp:posOffset>548005</wp:posOffset>
            </wp:positionV>
            <wp:extent cx="2975610" cy="26441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428" t="1805" r="1428" b="1805"/>
                    <a:stretch/>
                  </pic:blipFill>
                  <pic:spPr>
                    <a:xfrm>
                      <a:off x="0" y="0"/>
                      <a:ext cx="2975610" cy="2644140"/>
                    </a:xfrm>
                    <a:prstGeom prst="rect">
                      <a:avLst/>
                    </a:prstGeom>
                  </pic:spPr>
                </pic:pic>
              </a:graphicData>
            </a:graphic>
            <wp14:sizeRelH relativeFrom="page">
              <wp14:pctWidth>0</wp14:pctWidth>
            </wp14:sizeRelH>
            <wp14:sizeRelV relativeFrom="page">
              <wp14:pctHeight>0</wp14:pctHeight>
            </wp14:sizeRelV>
          </wp:anchor>
        </w:drawing>
      </w:r>
      <w:r w:rsidRPr="00C64031">
        <w:rPr>
          <w:rFonts w:ascii="Cambria" w:eastAsia="Cambria" w:hAnsi="Cambria" w:cs="Cambria"/>
        </w:rPr>
        <w:t xml:space="preserve">and </w:t>
      </w:r>
      <w:r>
        <w:rPr>
          <w:rFonts w:ascii="Cambria" w:eastAsia="Cambria" w:hAnsi="Cambria" w:cs="Cambria"/>
        </w:rPr>
        <w:t xml:space="preserve">as </w:t>
      </w:r>
      <w:r w:rsidRPr="00C64031">
        <w:rPr>
          <w:rFonts w:ascii="Cambria" w:eastAsia="Cambria" w:hAnsi="Cambria" w:cs="Cambria"/>
        </w:rPr>
        <w:t>alpha</w:t>
      </w:r>
      <w:r>
        <w:rPr>
          <w:rFonts w:ascii="Cambria" w:eastAsia="Cambria" w:hAnsi="Cambria" w:cs="Cambria"/>
        </w:rPr>
        <w:t xml:space="preserve"> increases.</w:t>
      </w:r>
    </w:p>
    <w:p w14:paraId="31A1FEA3" w14:textId="7050BA0D" w:rsidR="004A4EC3" w:rsidRPr="007140BB" w:rsidRDefault="004A4EC3" w:rsidP="007140BB">
      <w:pPr>
        <w:pStyle w:val="Caption"/>
        <w:spacing w:after="240"/>
        <w:jc w:val="both"/>
      </w:pPr>
      <w:r>
        <w:rPr>
          <w:noProof/>
        </w:rPr>
        <mc:AlternateContent>
          <mc:Choice Requires="wps">
            <w:drawing>
              <wp:anchor distT="0" distB="0" distL="114300" distR="114300" simplePos="0" relativeHeight="251675648" behindDoc="0" locked="0" layoutInCell="1" allowOverlap="1" wp14:anchorId="052D49B2" wp14:editId="6AE3396D">
                <wp:simplePos x="0" y="0"/>
                <wp:positionH relativeFrom="column">
                  <wp:posOffset>552450</wp:posOffset>
                </wp:positionH>
                <wp:positionV relativeFrom="paragraph">
                  <wp:posOffset>269875</wp:posOffset>
                </wp:positionV>
                <wp:extent cx="4930140" cy="144780"/>
                <wp:effectExtent l="0" t="0" r="3810" b="7620"/>
                <wp:wrapSquare wrapText="bothSides"/>
                <wp:docPr id="15" name="Text Box 15"/>
                <wp:cNvGraphicFramePr/>
                <a:graphic xmlns:a="http://schemas.openxmlformats.org/drawingml/2006/main">
                  <a:graphicData uri="http://schemas.microsoft.com/office/word/2010/wordprocessingShape">
                    <wps:wsp>
                      <wps:cNvSpPr txBox="1"/>
                      <wps:spPr>
                        <a:xfrm>
                          <a:off x="0" y="0"/>
                          <a:ext cx="4930140" cy="144780"/>
                        </a:xfrm>
                        <a:prstGeom prst="rect">
                          <a:avLst/>
                        </a:prstGeom>
                        <a:solidFill>
                          <a:prstClr val="white"/>
                        </a:solidFill>
                        <a:ln>
                          <a:noFill/>
                        </a:ln>
                      </wps:spPr>
                      <wps:txbx>
                        <w:txbxContent>
                          <w:p w14:paraId="68CB58E6" w14:textId="012D5AE4" w:rsidR="004A4EC3" w:rsidRPr="0049037E" w:rsidRDefault="004A4EC3" w:rsidP="004A4EC3">
                            <w:pPr>
                              <w:pStyle w:val="Caption"/>
                              <w:rPr>
                                <w:rFonts w:ascii="Cambria" w:eastAsia="Cambria" w:hAnsi="Cambria" w:cs="Cambria"/>
                              </w:rPr>
                            </w:pPr>
                            <w:r w:rsidRPr="0049037E">
                              <w:rPr>
                                <w:rFonts w:ascii="Cambria" w:hAnsi="Cambria"/>
                              </w:rPr>
                              <w:t xml:space="preserve">Figure </w:t>
                            </w:r>
                            <w:r w:rsidR="00D10AA4" w:rsidRPr="0049037E">
                              <w:rPr>
                                <w:rFonts w:ascii="Cambria" w:hAnsi="Cambria"/>
                              </w:rPr>
                              <w:fldChar w:fldCharType="begin"/>
                            </w:r>
                            <w:r w:rsidR="00D10AA4" w:rsidRPr="0049037E">
                              <w:rPr>
                                <w:rFonts w:ascii="Cambria" w:hAnsi="Cambria"/>
                              </w:rPr>
                              <w:instrText xml:space="preserve"> SEQ Figure \* ARABIC </w:instrText>
                            </w:r>
                            <w:r w:rsidR="00D10AA4" w:rsidRPr="0049037E">
                              <w:rPr>
                                <w:rFonts w:ascii="Cambria" w:hAnsi="Cambria"/>
                              </w:rPr>
                              <w:fldChar w:fldCharType="separate"/>
                            </w:r>
                            <w:r w:rsidR="00F22FDC" w:rsidRPr="0049037E">
                              <w:rPr>
                                <w:rFonts w:ascii="Cambria" w:hAnsi="Cambria"/>
                                <w:noProof/>
                              </w:rPr>
                              <w:t>4</w:t>
                            </w:r>
                            <w:r w:rsidR="00D10AA4" w:rsidRPr="0049037E">
                              <w:rPr>
                                <w:rFonts w:ascii="Cambria" w:hAnsi="Cambria"/>
                                <w:noProof/>
                              </w:rPr>
                              <w:fldChar w:fldCharType="end"/>
                            </w:r>
                            <w:r w:rsidRPr="0049037E">
                              <w:rPr>
                                <w:rFonts w:ascii="Cambria" w:hAnsi="Cambria"/>
                              </w:rPr>
                              <w:t xml:space="preserve"> - Volatility Surface by changing alpha for S&amp;P 500 (left) and STOXX Europe 600 (right)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D49B2" id="Text Box 15" o:spid="_x0000_s1029" type="#_x0000_t202" style="position:absolute;left:0;text-align:left;margin-left:43.5pt;margin-top:21.25pt;width:388.2pt;height:1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" stroked="f">
                <v:textbox inset="0,0,0,0">
                  <w:txbxContent>
                    <w:p w14:paraId="68CB58E6" w14:textId="012D5AE4" w:rsidR="004A4EC3" w:rsidRPr="0049037E" w:rsidRDefault="004A4EC3" w:rsidP="004A4EC3">
                      <w:pPr>
                        <w:pStyle w:val="Caption"/>
                        <w:rPr>
                          <w:rFonts w:ascii="Cambria" w:eastAsia="Cambria" w:hAnsi="Cambria" w:cs="Cambria"/>
                        </w:rPr>
                      </w:pPr>
                      <w:r w:rsidRPr="0049037E">
                        <w:rPr>
                          <w:rFonts w:ascii="Cambria" w:hAnsi="Cambria"/>
                        </w:rPr>
                        <w:t xml:space="preserve">Figure </w:t>
                      </w:r>
                      <w:r w:rsidR="00D10AA4" w:rsidRPr="0049037E">
                        <w:rPr>
                          <w:rFonts w:ascii="Cambria" w:hAnsi="Cambria"/>
                        </w:rPr>
                        <w:fldChar w:fldCharType="begin"/>
                      </w:r>
                      <w:r w:rsidR="00D10AA4" w:rsidRPr="0049037E">
                        <w:rPr>
                          <w:rFonts w:ascii="Cambria" w:hAnsi="Cambria"/>
                        </w:rPr>
                        <w:instrText xml:space="preserve"> SEQ Figure \* ARABIC </w:instrText>
                      </w:r>
                      <w:r w:rsidR="00D10AA4" w:rsidRPr="0049037E">
                        <w:rPr>
                          <w:rFonts w:ascii="Cambria" w:hAnsi="Cambria"/>
                        </w:rPr>
                        <w:fldChar w:fldCharType="separate"/>
                      </w:r>
                      <w:r w:rsidR="00F22FDC" w:rsidRPr="0049037E">
                        <w:rPr>
                          <w:rFonts w:ascii="Cambria" w:hAnsi="Cambria"/>
                          <w:noProof/>
                        </w:rPr>
                        <w:t>4</w:t>
                      </w:r>
                      <w:r w:rsidR="00D10AA4" w:rsidRPr="0049037E">
                        <w:rPr>
                          <w:rFonts w:ascii="Cambria" w:hAnsi="Cambria"/>
                          <w:noProof/>
                        </w:rPr>
                        <w:fldChar w:fldCharType="end"/>
                      </w:r>
                      <w:r w:rsidRPr="0049037E">
                        <w:rPr>
                          <w:rFonts w:ascii="Cambria" w:hAnsi="Cambria"/>
                        </w:rPr>
                        <w:t xml:space="preserve"> - Volatility Surface by changing alpha for S&amp;P 500 (left) and STOXX Europe 600 (right) options</w:t>
                      </w:r>
                    </w:p>
                  </w:txbxContent>
                </v:textbox>
                <w10:wrap type="square"/>
              </v:shape>
            </w:pict>
          </mc:Fallback>
        </mc:AlternateContent>
      </w:r>
    </w:p>
    <w:p w14:paraId="5743AAF5" w14:textId="60D6EB02" w:rsidR="0050395A" w:rsidRDefault="003554A9" w:rsidP="003554A9">
      <w:pPr>
        <w:widowControl w:val="0"/>
        <w:tabs>
          <w:tab w:val="right" w:pos="9630"/>
        </w:tabs>
        <w:spacing w:after="240"/>
        <w:jc w:val="both"/>
        <w:rPr>
          <w:rFonts w:ascii="Cambria" w:eastAsia="Cambria" w:hAnsi="Cambria" w:cs="Cambria"/>
        </w:rPr>
      </w:pPr>
      <w:r>
        <w:rPr>
          <w:rFonts w:ascii="Cambria" w:eastAsia="Cambria" w:hAnsi="Cambria" w:cs="Cambria"/>
        </w:rPr>
        <w:t>It seems that negative alphas in this range do not manage to increase the variance of the underlying enough as to offset the Brownian motion volatility as much as positive values of alpha. Indeed, i</w:t>
      </w:r>
      <w:r w:rsidR="003A3AD5">
        <w:rPr>
          <w:rFonts w:ascii="Cambria" w:eastAsia="Cambria" w:hAnsi="Cambria" w:cs="Cambria"/>
        </w:rPr>
        <w:t xml:space="preserve">f alpha is negative, investors </w:t>
      </w:r>
      <w:r>
        <w:rPr>
          <w:rFonts w:ascii="Cambria" w:eastAsia="Cambria" w:hAnsi="Cambria" w:cs="Cambria"/>
        </w:rPr>
        <w:t xml:space="preserve">demand </w:t>
      </w:r>
      <w:r w:rsidR="003A3AD5">
        <w:rPr>
          <w:rFonts w:ascii="Cambria" w:eastAsia="Cambria" w:hAnsi="Cambria" w:cs="Cambria"/>
        </w:rPr>
        <w:t xml:space="preserve">high values of volatility in the following days to </w:t>
      </w:r>
      <w:r>
        <w:rPr>
          <w:rFonts w:ascii="Cambria" w:eastAsia="Cambria" w:hAnsi="Cambria" w:cs="Cambria"/>
        </w:rPr>
        <w:t xml:space="preserve">pay </w:t>
      </w:r>
      <w:r w:rsidR="003A3AD5">
        <w:rPr>
          <w:rFonts w:ascii="Cambria" w:eastAsia="Cambria" w:hAnsi="Cambria" w:cs="Cambria"/>
        </w:rPr>
        <w:t>the</w:t>
      </w:r>
      <w:r>
        <w:rPr>
          <w:rFonts w:ascii="Cambria" w:eastAsia="Cambria" w:hAnsi="Cambria" w:cs="Cambria"/>
        </w:rPr>
        <w:t xml:space="preserve"> options at the market </w:t>
      </w:r>
      <w:r w:rsidR="003A3AD5">
        <w:rPr>
          <w:rFonts w:ascii="Cambria" w:eastAsia="Cambria" w:hAnsi="Cambria" w:cs="Cambria"/>
        </w:rPr>
        <w:t xml:space="preserve">prices, while </w:t>
      </w:r>
      <w:r>
        <w:rPr>
          <w:rFonts w:ascii="Cambria" w:eastAsia="Cambria" w:hAnsi="Cambria" w:cs="Cambria"/>
        </w:rPr>
        <w:t xml:space="preserve">high positive </w:t>
      </w:r>
      <w:r w:rsidR="003A3AD5">
        <w:rPr>
          <w:rFonts w:ascii="Cambria" w:eastAsia="Cambria" w:hAnsi="Cambria" w:cs="Cambria"/>
        </w:rPr>
        <w:t xml:space="preserve">alphas are associated with very low IV levels that in some cases go </w:t>
      </w:r>
      <w:r>
        <w:rPr>
          <w:rFonts w:ascii="Cambria" w:eastAsia="Cambria" w:hAnsi="Cambria" w:cs="Cambria"/>
        </w:rPr>
        <w:t xml:space="preserve">down </w:t>
      </w:r>
      <w:r w:rsidR="003A3AD5">
        <w:rPr>
          <w:rFonts w:ascii="Cambria" w:eastAsia="Cambria" w:hAnsi="Cambria" w:cs="Cambria"/>
        </w:rPr>
        <w:t>to zero.</w:t>
      </w:r>
      <w:r>
        <w:rPr>
          <w:rFonts w:ascii="Cambria" w:eastAsia="Cambria" w:hAnsi="Cambria" w:cs="Cambria"/>
        </w:rPr>
        <w:t xml:space="preserve"> In the latter case alpha increases the expected value of the jump so much that the jump risk completely dominates the Brownian motion risk. In addition, the effect is much more pronounced in the case of the STOXX Europe, which has a greater variability in the range considered.</w:t>
      </w:r>
    </w:p>
    <w:p w14:paraId="1675E48D" w14:textId="11FD75F6" w:rsidR="00A8254B" w:rsidRPr="00F762A1" w:rsidRDefault="00A8254B" w:rsidP="00A8254B">
      <w:pPr>
        <w:widowControl w:val="0"/>
        <w:tabs>
          <w:tab w:val="right" w:pos="9630"/>
        </w:tabs>
        <w:spacing w:after="120"/>
        <w:jc w:val="both"/>
        <w:rPr>
          <w:rFonts w:ascii="Cambria" w:eastAsia="Cambria" w:hAnsi="Cambria" w:cs="Cambria"/>
          <w:color w:val="385623" w:themeColor="accent6" w:themeShade="80"/>
        </w:rPr>
      </w:pPr>
      <w:r>
        <w:rPr>
          <w:rFonts w:ascii="Cambria" w:eastAsia="Cambria" w:hAnsi="Cambria" w:cs="Cambria"/>
          <w:b/>
          <w:color w:val="385623" w:themeColor="accent6" w:themeShade="80"/>
          <w:sz w:val="32"/>
          <w:szCs w:val="32"/>
        </w:rPr>
        <w:t xml:space="preserve">Sensitivity Analysis </w:t>
      </w:r>
      <w:r w:rsidR="001B2795">
        <w:rPr>
          <w:rFonts w:ascii="Cambria" w:eastAsia="Cambria" w:hAnsi="Cambria" w:cs="Cambria"/>
          <w:b/>
          <w:color w:val="385623" w:themeColor="accent6" w:themeShade="80"/>
          <w:sz w:val="32"/>
          <w:szCs w:val="32"/>
        </w:rPr>
        <w:t>2</w:t>
      </w:r>
      <w:r>
        <w:rPr>
          <w:rFonts w:ascii="Cambria" w:eastAsia="Cambria" w:hAnsi="Cambria" w:cs="Cambria"/>
          <w:b/>
          <w:color w:val="385623" w:themeColor="accent6" w:themeShade="80"/>
          <w:sz w:val="32"/>
          <w:szCs w:val="32"/>
        </w:rPr>
        <w:t xml:space="preserve"> - </w:t>
      </w:r>
      <w:r>
        <w:rPr>
          <w:rFonts w:ascii="Cambria" w:eastAsia="Cambria" w:hAnsi="Cambria" w:cs="Cambria"/>
          <w:b/>
          <w:color w:val="385623" w:themeColor="accent6" w:themeShade="80"/>
          <w:sz w:val="32"/>
          <w:szCs w:val="32"/>
        </w:rPr>
        <w:t>Beta</w:t>
      </w:r>
    </w:p>
    <w:p w14:paraId="00700E13" w14:textId="020A61D4" w:rsidR="0050395A" w:rsidRPr="004F05AA" w:rsidRDefault="00A8254B" w:rsidP="004F05AA">
      <w:pPr>
        <w:widowControl w:val="0"/>
        <w:tabs>
          <w:tab w:val="right" w:pos="9630"/>
        </w:tabs>
        <w:spacing w:after="4560"/>
        <w:jc w:val="both"/>
        <w:rPr>
          <w:rFonts w:ascii="Cambria" w:eastAsia="Cambria" w:hAnsi="Cambria" w:cs="Cambria"/>
        </w:rPr>
      </w:pPr>
      <w:r>
        <w:rPr>
          <w:noProof/>
        </w:rPr>
        <mc:AlternateContent>
          <mc:Choice Requires="wps">
            <w:drawing>
              <wp:anchor distT="0" distB="0" distL="114300" distR="114300" simplePos="0" relativeHeight="251679744" behindDoc="0" locked="0" layoutInCell="1" allowOverlap="1" wp14:anchorId="6357C380" wp14:editId="18C7D141">
                <wp:simplePos x="0" y="0"/>
                <wp:positionH relativeFrom="column">
                  <wp:posOffset>621030</wp:posOffset>
                </wp:positionH>
                <wp:positionV relativeFrom="paragraph">
                  <wp:posOffset>3543935</wp:posOffset>
                </wp:positionV>
                <wp:extent cx="4861560" cy="17526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861560" cy="175260"/>
                        </a:xfrm>
                        <a:prstGeom prst="rect">
                          <a:avLst/>
                        </a:prstGeom>
                        <a:solidFill>
                          <a:prstClr val="white"/>
                        </a:solidFill>
                        <a:ln>
                          <a:noFill/>
                        </a:ln>
                      </wps:spPr>
                      <wps:txbx>
                        <w:txbxContent>
                          <w:p w14:paraId="206EA6D0" w14:textId="65AB9316" w:rsidR="00A8254B" w:rsidRPr="0049037E" w:rsidRDefault="00A8254B" w:rsidP="00A8254B">
                            <w:pPr>
                              <w:pStyle w:val="Caption"/>
                              <w:rPr>
                                <w:rFonts w:ascii="Cambria" w:hAnsi="Cambria"/>
                                <w:noProof/>
                              </w:rPr>
                            </w:pPr>
                            <w:r w:rsidRPr="0049037E">
                              <w:rPr>
                                <w:rFonts w:ascii="Cambria" w:hAnsi="Cambria"/>
                              </w:rPr>
                              <w:t xml:space="preserve">Figure </w:t>
                            </w:r>
                            <w:r w:rsidRPr="0049037E">
                              <w:rPr>
                                <w:rFonts w:ascii="Cambria" w:hAnsi="Cambria"/>
                              </w:rPr>
                              <w:fldChar w:fldCharType="begin"/>
                            </w:r>
                            <w:r w:rsidRPr="0049037E">
                              <w:rPr>
                                <w:rFonts w:ascii="Cambria" w:hAnsi="Cambria"/>
                              </w:rPr>
                              <w:instrText xml:space="preserve"> SEQ Figure \* ARABIC </w:instrText>
                            </w:r>
                            <w:r w:rsidRPr="0049037E">
                              <w:rPr>
                                <w:rFonts w:ascii="Cambria" w:hAnsi="Cambria"/>
                              </w:rPr>
                              <w:fldChar w:fldCharType="separate"/>
                            </w:r>
                            <w:r w:rsidR="00F22FDC" w:rsidRPr="0049037E">
                              <w:rPr>
                                <w:rFonts w:ascii="Cambria" w:hAnsi="Cambria"/>
                                <w:noProof/>
                              </w:rPr>
                              <w:t>5</w:t>
                            </w:r>
                            <w:r w:rsidRPr="0049037E">
                              <w:rPr>
                                <w:rFonts w:ascii="Cambria" w:hAnsi="Cambria"/>
                              </w:rPr>
                              <w:fldChar w:fldCharType="end"/>
                            </w:r>
                            <w:r w:rsidRPr="0049037E">
                              <w:rPr>
                                <w:rFonts w:ascii="Cambria" w:hAnsi="Cambria"/>
                              </w:rPr>
                              <w:t xml:space="preserve"> - Volatility Surface by changing beta for S&amp;P 500 (left) and STOXX Europe 600 (right)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7C380" id="Text Box 12" o:spid="_x0000_s1030" type="#_x0000_t202" style="position:absolute;left:0;text-align:left;margin-left:48.9pt;margin-top:279.05pt;width:382.8pt;height:1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pBLwIAAGkEAAAOAAAAZHJzL2Uyb0RvYy54bWysVFFv2yAQfp+0/4B4X5xEbVZ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" stroked="f">
                <v:textbox inset="0,0,0,0">
                  <w:txbxContent>
                    <w:p w14:paraId="206EA6D0" w14:textId="65AB9316" w:rsidR="00A8254B" w:rsidRPr="0049037E" w:rsidRDefault="00A8254B" w:rsidP="00A8254B">
                      <w:pPr>
                        <w:pStyle w:val="Caption"/>
                        <w:rPr>
                          <w:rFonts w:ascii="Cambria" w:hAnsi="Cambria"/>
                          <w:noProof/>
                        </w:rPr>
                      </w:pPr>
                      <w:r w:rsidRPr="0049037E">
                        <w:rPr>
                          <w:rFonts w:ascii="Cambria" w:hAnsi="Cambria"/>
                        </w:rPr>
                        <w:t xml:space="preserve">Figure </w:t>
                      </w:r>
                      <w:r w:rsidRPr="0049037E">
                        <w:rPr>
                          <w:rFonts w:ascii="Cambria" w:hAnsi="Cambria"/>
                        </w:rPr>
                        <w:fldChar w:fldCharType="begin"/>
                      </w:r>
                      <w:r w:rsidRPr="0049037E">
                        <w:rPr>
                          <w:rFonts w:ascii="Cambria" w:hAnsi="Cambria"/>
                        </w:rPr>
                        <w:instrText xml:space="preserve"> SEQ Figure \* ARABIC </w:instrText>
                      </w:r>
                      <w:r w:rsidRPr="0049037E">
                        <w:rPr>
                          <w:rFonts w:ascii="Cambria" w:hAnsi="Cambria"/>
                        </w:rPr>
                        <w:fldChar w:fldCharType="separate"/>
                      </w:r>
                      <w:r w:rsidR="00F22FDC" w:rsidRPr="0049037E">
                        <w:rPr>
                          <w:rFonts w:ascii="Cambria" w:hAnsi="Cambria"/>
                          <w:noProof/>
                        </w:rPr>
                        <w:t>5</w:t>
                      </w:r>
                      <w:r w:rsidRPr="0049037E">
                        <w:rPr>
                          <w:rFonts w:ascii="Cambria" w:hAnsi="Cambria"/>
                        </w:rPr>
                        <w:fldChar w:fldCharType="end"/>
                      </w:r>
                      <w:r w:rsidRPr="0049037E">
                        <w:rPr>
                          <w:rFonts w:ascii="Cambria" w:hAnsi="Cambria"/>
                        </w:rPr>
                        <w:t xml:space="preserve"> - Volatility Surface by changing beta for S&amp;P 500 (left) and STOXX Europe 600 (right) options</w:t>
                      </w:r>
                    </w:p>
                  </w:txbxContent>
                </v:textbox>
                <w10:wrap type="square"/>
              </v:shape>
            </w:pict>
          </mc:Fallback>
        </mc:AlternateContent>
      </w:r>
      <w:r w:rsidRPr="00E06AC6">
        <w:rPr>
          <w:noProof/>
        </w:rPr>
        <w:drawing>
          <wp:anchor distT="0" distB="0" distL="114300" distR="114300" simplePos="0" relativeHeight="251676672" behindDoc="0" locked="0" layoutInCell="1" allowOverlap="1" wp14:anchorId="6376353A" wp14:editId="1EEBFBAC">
            <wp:simplePos x="0" y="0"/>
            <wp:positionH relativeFrom="column">
              <wp:posOffset>57150</wp:posOffset>
            </wp:positionH>
            <wp:positionV relativeFrom="paragraph">
              <wp:posOffset>912495</wp:posOffset>
            </wp:positionV>
            <wp:extent cx="3003550" cy="259842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3550" cy="2598420"/>
                    </a:xfrm>
                    <a:prstGeom prst="rect">
                      <a:avLst/>
                    </a:prstGeom>
                  </pic:spPr>
                </pic:pic>
              </a:graphicData>
            </a:graphic>
          </wp:anchor>
        </w:drawing>
      </w:r>
      <w:r w:rsidRPr="00E06AC6">
        <w:rPr>
          <w:noProof/>
        </w:rPr>
        <w:drawing>
          <wp:anchor distT="0" distB="0" distL="114300" distR="114300" simplePos="0" relativeHeight="251677696" behindDoc="0" locked="0" layoutInCell="1" allowOverlap="1" wp14:anchorId="5BBF0AB3" wp14:editId="6D6D8DF6">
            <wp:simplePos x="0" y="0"/>
            <wp:positionH relativeFrom="column">
              <wp:posOffset>3185160</wp:posOffset>
            </wp:positionH>
            <wp:positionV relativeFrom="paragraph">
              <wp:posOffset>904875</wp:posOffset>
            </wp:positionV>
            <wp:extent cx="2910840" cy="261683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0840" cy="2616835"/>
                    </a:xfrm>
                    <a:prstGeom prst="rect">
                      <a:avLst/>
                    </a:prstGeom>
                  </pic:spPr>
                </pic:pic>
              </a:graphicData>
            </a:graphic>
            <wp14:sizeRelH relativeFrom="page">
              <wp14:pctWidth>0</wp14:pctWidth>
            </wp14:sizeRelH>
            <wp14:sizeRelV relativeFrom="page">
              <wp14:pctHeight>0</wp14:pctHeight>
            </wp14:sizeRelV>
          </wp:anchor>
        </w:drawing>
      </w:r>
      <w:r>
        <w:rPr>
          <w:rFonts w:ascii="Cambria" w:eastAsia="Cambria" w:hAnsi="Cambria" w:cs="Cambria"/>
        </w:rPr>
        <w:t xml:space="preserve">To complement the analysis on the size of the jump, we performed also ana analysis on β. For this parameter, we used different ranges for the two indices. In particular, for the S&amp;P options it is restricted between </w:t>
      </w:r>
      <w:r w:rsidR="003A3AD5">
        <w:rPr>
          <w:rFonts w:ascii="Cambria" w:eastAsia="Cambria" w:hAnsi="Cambria" w:cs="Cambria"/>
        </w:rPr>
        <w:t>5</w:t>
      </w:r>
      <w:r>
        <w:rPr>
          <w:rFonts w:ascii="Cambria" w:eastAsia="Cambria" w:hAnsi="Cambria" w:cs="Cambria"/>
        </w:rPr>
        <w:t>%</w:t>
      </w:r>
      <w:r w:rsidR="003A3AD5">
        <w:rPr>
          <w:rFonts w:ascii="Cambria" w:eastAsia="Cambria" w:hAnsi="Cambria" w:cs="Cambria"/>
        </w:rPr>
        <w:t xml:space="preserve"> </w:t>
      </w:r>
      <w:r w:rsidR="003A3AD5" w:rsidRPr="004F05AA">
        <w:rPr>
          <w:rFonts w:ascii="Cambria" w:eastAsia="Cambria" w:hAnsi="Cambria" w:cs="Cambria"/>
        </w:rPr>
        <w:t>and 25</w:t>
      </w:r>
      <w:r w:rsidRPr="004F05AA">
        <w:rPr>
          <w:rFonts w:ascii="Cambria" w:eastAsia="Cambria" w:hAnsi="Cambria" w:cs="Cambria"/>
        </w:rPr>
        <w:t>%, while the upper bound increases until 50% for the STOXX Europe options</w:t>
      </w:r>
      <w:r w:rsidR="003A3AD5" w:rsidRPr="004F05AA">
        <w:rPr>
          <w:rFonts w:ascii="Cambria" w:eastAsia="Cambria" w:hAnsi="Cambria" w:cs="Cambria"/>
        </w:rPr>
        <w:t>.</w:t>
      </w:r>
      <w:r w:rsidR="00E06AC6" w:rsidRPr="004F05AA">
        <w:rPr>
          <w:rFonts w:ascii="Cambria" w:hAnsi="Cambria"/>
          <w:noProof/>
        </w:rPr>
        <w:t xml:space="preserve"> </w:t>
      </w:r>
      <w:r w:rsidRPr="004F05AA">
        <w:rPr>
          <w:rFonts w:ascii="Cambria" w:hAnsi="Cambria"/>
          <w:noProof/>
        </w:rPr>
        <w:t>This increase is due to the fact that within the first range, the skew is quite stationary and we are not able to appreciate how much the jump risk affects the volatility estimate.</w:t>
      </w:r>
    </w:p>
    <w:p w14:paraId="65D8B230" w14:textId="626A724B" w:rsidR="0050395A" w:rsidRDefault="003A3AD5">
      <w:pPr>
        <w:widowControl w:val="0"/>
        <w:tabs>
          <w:tab w:val="right" w:pos="9630"/>
        </w:tabs>
        <w:spacing w:after="240"/>
        <w:jc w:val="both"/>
        <w:rPr>
          <w:rFonts w:ascii="Cambria" w:eastAsia="Cambria" w:hAnsi="Cambria" w:cs="Cambria"/>
        </w:rPr>
      </w:pPr>
      <w:r>
        <w:rPr>
          <w:rFonts w:ascii="Cambria" w:eastAsia="Cambria" w:hAnsi="Cambria" w:cs="Cambria"/>
        </w:rPr>
        <w:lastRenderedPageBreak/>
        <w:t>The graphs show a clear relation</w:t>
      </w:r>
      <w:r w:rsidR="004F05AA">
        <w:rPr>
          <w:rFonts w:ascii="Cambria" w:eastAsia="Cambria" w:hAnsi="Cambria" w:cs="Cambria"/>
        </w:rPr>
        <w:t>ship</w:t>
      </w:r>
      <w:r>
        <w:rPr>
          <w:rFonts w:ascii="Cambria" w:eastAsia="Cambria" w:hAnsi="Cambria" w:cs="Cambria"/>
        </w:rPr>
        <w:t xml:space="preserve"> between beta and the implied volatility: the higher the beta, the lower the IV and vice</w:t>
      </w:r>
      <w:r w:rsidR="004F05AA">
        <w:rPr>
          <w:rFonts w:ascii="Cambria" w:eastAsia="Cambria" w:hAnsi="Cambria" w:cs="Cambria"/>
        </w:rPr>
        <w:t>-</w:t>
      </w:r>
      <w:r>
        <w:rPr>
          <w:rFonts w:ascii="Cambria" w:eastAsia="Cambria" w:hAnsi="Cambria" w:cs="Cambria"/>
        </w:rPr>
        <w:t xml:space="preserve">versa. This </w:t>
      </w:r>
      <w:r w:rsidR="004F05AA">
        <w:rPr>
          <w:rFonts w:ascii="Cambria" w:eastAsia="Cambria" w:hAnsi="Cambria" w:cs="Cambria"/>
        </w:rPr>
        <w:t>is intuitive</w:t>
      </w:r>
      <w:r>
        <w:rPr>
          <w:rFonts w:ascii="Cambria" w:eastAsia="Cambria" w:hAnsi="Cambria" w:cs="Cambria"/>
        </w:rPr>
        <w:t xml:space="preserve">: </w:t>
      </w:r>
      <w:r w:rsidR="004F05AA">
        <w:rPr>
          <w:rFonts w:ascii="Cambria" w:eastAsia="Cambria" w:hAnsi="Cambria" w:cs="Cambria"/>
        </w:rPr>
        <w:t xml:space="preserve">given a strike price, each </w:t>
      </w:r>
      <w:r>
        <w:rPr>
          <w:rFonts w:ascii="Cambria" w:eastAsia="Cambria" w:hAnsi="Cambria" w:cs="Cambria"/>
        </w:rPr>
        <w:t>option price has an associated level of total volatility</w:t>
      </w:r>
      <w:r w:rsidR="004F05AA">
        <w:rPr>
          <w:rFonts w:ascii="Cambria" w:eastAsia="Cambria" w:hAnsi="Cambria" w:cs="Cambria"/>
        </w:rPr>
        <w:t xml:space="preserve">. While in BMS it is completely attributed to the diffusion risk, </w:t>
      </w:r>
      <w:r>
        <w:rPr>
          <w:rFonts w:ascii="Cambria" w:eastAsia="Cambria" w:hAnsi="Cambria" w:cs="Cambria"/>
        </w:rPr>
        <w:t xml:space="preserve">in the </w:t>
      </w:r>
      <w:r w:rsidR="004F05AA">
        <w:rPr>
          <w:rFonts w:ascii="Cambria" w:eastAsia="Cambria" w:hAnsi="Cambria" w:cs="Cambria"/>
        </w:rPr>
        <w:t xml:space="preserve">JD </w:t>
      </w:r>
      <w:r>
        <w:rPr>
          <w:rFonts w:ascii="Cambria" w:eastAsia="Cambria" w:hAnsi="Cambria" w:cs="Cambria"/>
        </w:rPr>
        <w:t xml:space="preserve">model </w:t>
      </w:r>
      <w:r w:rsidR="004F05AA">
        <w:rPr>
          <w:rFonts w:ascii="Cambria" w:eastAsia="Cambria" w:hAnsi="Cambria" w:cs="Cambria"/>
        </w:rPr>
        <w:t>the volatility is allotted to two sources of risk</w:t>
      </w:r>
      <w:r>
        <w:rPr>
          <w:rFonts w:ascii="Cambria" w:eastAsia="Cambria" w:hAnsi="Cambria" w:cs="Cambria"/>
        </w:rPr>
        <w:t>, one coming from the Brownian motion (represent</w:t>
      </w:r>
      <w:r w:rsidR="004F05AA">
        <w:rPr>
          <w:rFonts w:ascii="Cambria" w:eastAsia="Cambria" w:hAnsi="Cambria" w:cs="Cambria"/>
        </w:rPr>
        <w:t>ed by</w:t>
      </w:r>
      <w:r>
        <w:rPr>
          <w:rFonts w:ascii="Cambria" w:eastAsia="Cambria" w:hAnsi="Cambria" w:cs="Cambria"/>
        </w:rPr>
        <w:t xml:space="preserve"> the implied volatility) and one coming from the jump</w:t>
      </w:r>
      <w:r w:rsidR="004F05AA">
        <w:rPr>
          <w:rFonts w:ascii="Cambria" w:eastAsia="Cambria" w:hAnsi="Cambria" w:cs="Cambria"/>
        </w:rPr>
        <w:t>s</w:t>
      </w:r>
      <w:r>
        <w:rPr>
          <w:rFonts w:ascii="Cambria" w:eastAsia="Cambria" w:hAnsi="Cambria" w:cs="Cambria"/>
        </w:rPr>
        <w:t xml:space="preserve">. </w:t>
      </w:r>
      <w:r w:rsidR="004F05AA">
        <w:rPr>
          <w:rFonts w:ascii="Cambria" w:eastAsia="Cambria" w:hAnsi="Cambria" w:cs="Cambria"/>
        </w:rPr>
        <w:t>T</w:t>
      </w:r>
      <w:r>
        <w:rPr>
          <w:rFonts w:ascii="Cambria" w:eastAsia="Cambria" w:hAnsi="Cambria" w:cs="Cambria"/>
        </w:rPr>
        <w:t xml:space="preserve">hus, </w:t>
      </w:r>
      <w:r w:rsidR="004F05AA">
        <w:rPr>
          <w:rFonts w:ascii="Cambria" w:eastAsia="Cambria" w:hAnsi="Cambria" w:cs="Cambria"/>
        </w:rPr>
        <w:t xml:space="preserve">once a fixed level of volatility is “priced” in the market quotes, </w:t>
      </w:r>
      <w:r>
        <w:rPr>
          <w:rFonts w:ascii="Cambria" w:eastAsia="Cambria" w:hAnsi="Cambria" w:cs="Cambria"/>
        </w:rPr>
        <w:t xml:space="preserve">when the volatility of the </w:t>
      </w:r>
      <w:r w:rsidR="004F05AA">
        <w:rPr>
          <w:rFonts w:ascii="Cambria" w:eastAsia="Cambria" w:hAnsi="Cambria" w:cs="Cambria"/>
        </w:rPr>
        <w:t>j</w:t>
      </w:r>
      <w:r>
        <w:rPr>
          <w:rFonts w:ascii="Cambria" w:eastAsia="Cambria" w:hAnsi="Cambria" w:cs="Cambria"/>
        </w:rPr>
        <w:t>ump model is low, the implied volatility of the Brownian should be high enough to reach this quantity; in the opposite case, when the volatility of the Jump Model is high, the respective implied volatility drops down and</w:t>
      </w:r>
      <w:r w:rsidR="004F05AA">
        <w:rPr>
          <w:rFonts w:ascii="Cambria" w:eastAsia="Cambria" w:hAnsi="Cambria" w:cs="Cambria"/>
        </w:rPr>
        <w:t>,</w:t>
      </w:r>
      <w:r>
        <w:rPr>
          <w:rFonts w:ascii="Cambria" w:eastAsia="Cambria" w:hAnsi="Cambria" w:cs="Cambria"/>
        </w:rPr>
        <w:t xml:space="preserve"> in some cases</w:t>
      </w:r>
      <w:r w:rsidR="004F05AA">
        <w:rPr>
          <w:rFonts w:ascii="Cambria" w:eastAsia="Cambria" w:hAnsi="Cambria" w:cs="Cambria"/>
        </w:rPr>
        <w:t>,</w:t>
      </w:r>
      <w:r>
        <w:rPr>
          <w:rFonts w:ascii="Cambria" w:eastAsia="Cambria" w:hAnsi="Cambria" w:cs="Cambria"/>
        </w:rPr>
        <w:t xml:space="preserve"> </w:t>
      </w:r>
      <w:r w:rsidR="004F05AA">
        <w:rPr>
          <w:rFonts w:ascii="Cambria" w:eastAsia="Cambria" w:hAnsi="Cambria" w:cs="Cambria"/>
        </w:rPr>
        <w:t xml:space="preserve">even </w:t>
      </w:r>
      <w:r>
        <w:rPr>
          <w:rFonts w:ascii="Cambria" w:eastAsia="Cambria" w:hAnsi="Cambria" w:cs="Cambria"/>
        </w:rPr>
        <w:t>vanishes</w:t>
      </w:r>
      <w:r w:rsidR="004F05AA">
        <w:rPr>
          <w:rFonts w:ascii="Cambria" w:eastAsia="Cambria" w:hAnsi="Cambria" w:cs="Cambria"/>
        </w:rPr>
        <w:t xml:space="preserve"> (meaning that the jump risk is so high that it fully absorbs the market risk).</w:t>
      </w:r>
    </w:p>
    <w:p w14:paraId="2DD5167E" w14:textId="09E7DB53" w:rsidR="0050395A" w:rsidRPr="00AC45C6" w:rsidRDefault="001B2795" w:rsidP="00AC45C6">
      <w:pPr>
        <w:widowControl w:val="0"/>
        <w:tabs>
          <w:tab w:val="right" w:pos="9630"/>
        </w:tabs>
        <w:spacing w:after="120"/>
        <w:jc w:val="both"/>
        <w:rPr>
          <w:rFonts w:ascii="Cambria" w:eastAsia="Cambria" w:hAnsi="Cambria" w:cs="Cambria"/>
          <w:color w:val="385623" w:themeColor="accent6" w:themeShade="80"/>
        </w:rPr>
      </w:pPr>
      <w:r>
        <w:rPr>
          <w:rFonts w:ascii="Cambria" w:eastAsia="Cambria" w:hAnsi="Cambria" w:cs="Cambria"/>
          <w:b/>
          <w:color w:val="385623" w:themeColor="accent6" w:themeShade="80"/>
          <w:sz w:val="32"/>
          <w:szCs w:val="32"/>
        </w:rPr>
        <w:t xml:space="preserve">Sensitivity Analysis </w:t>
      </w:r>
      <w:r>
        <w:rPr>
          <w:rFonts w:ascii="Cambria" w:eastAsia="Cambria" w:hAnsi="Cambria" w:cs="Cambria"/>
          <w:b/>
          <w:color w:val="385623" w:themeColor="accent6" w:themeShade="80"/>
          <w:sz w:val="32"/>
          <w:szCs w:val="32"/>
        </w:rPr>
        <w:t>3</w:t>
      </w:r>
      <w:r>
        <w:rPr>
          <w:rFonts w:ascii="Cambria" w:eastAsia="Cambria" w:hAnsi="Cambria" w:cs="Cambria"/>
          <w:b/>
          <w:color w:val="385623" w:themeColor="accent6" w:themeShade="80"/>
          <w:sz w:val="32"/>
          <w:szCs w:val="32"/>
        </w:rPr>
        <w:t xml:space="preserve"> </w:t>
      </w:r>
      <w:r>
        <w:rPr>
          <w:rFonts w:ascii="Cambria" w:eastAsia="Cambria" w:hAnsi="Cambria" w:cs="Cambria"/>
          <w:b/>
          <w:color w:val="385623" w:themeColor="accent6" w:themeShade="80"/>
          <w:sz w:val="32"/>
          <w:szCs w:val="32"/>
        </w:rPr>
        <w:t>–</w:t>
      </w:r>
      <w:r>
        <w:rPr>
          <w:rFonts w:ascii="Cambria" w:eastAsia="Cambria" w:hAnsi="Cambria" w:cs="Cambria"/>
          <w:b/>
          <w:color w:val="385623" w:themeColor="accent6" w:themeShade="80"/>
          <w:sz w:val="32"/>
          <w:szCs w:val="32"/>
        </w:rPr>
        <w:t xml:space="preserve"> </w:t>
      </w:r>
      <w:r>
        <w:rPr>
          <w:rFonts w:ascii="Cambria" w:eastAsia="Cambria" w:hAnsi="Cambria" w:cs="Cambria"/>
          <w:b/>
          <w:color w:val="385623" w:themeColor="accent6" w:themeShade="80"/>
          <w:sz w:val="32"/>
          <w:szCs w:val="32"/>
        </w:rPr>
        <w:t>The Jump Frequency</w:t>
      </w:r>
    </w:p>
    <w:p w14:paraId="5BCF0A73" w14:textId="67CF5EEA" w:rsidR="00F22FDC" w:rsidRDefault="0049037E" w:rsidP="00F22FDC">
      <w:pPr>
        <w:widowControl w:val="0"/>
        <w:tabs>
          <w:tab w:val="right" w:pos="9630"/>
        </w:tabs>
        <w:spacing w:after="9240"/>
        <w:jc w:val="both"/>
        <w:rPr>
          <w:rFonts w:ascii="Cambria" w:eastAsia="Cambria" w:hAnsi="Cambria" w:cs="Cambria"/>
        </w:rPr>
      </w:pPr>
      <w:r>
        <w:rPr>
          <w:noProof/>
        </w:rPr>
        <mc:AlternateContent>
          <mc:Choice Requires="wps">
            <w:drawing>
              <wp:anchor distT="0" distB="0" distL="114300" distR="114300" simplePos="0" relativeHeight="251685888" behindDoc="0" locked="0" layoutInCell="1" allowOverlap="1" wp14:anchorId="7A730FF8" wp14:editId="5A6A8FD0">
                <wp:simplePos x="0" y="0"/>
                <wp:positionH relativeFrom="column">
                  <wp:posOffset>704850</wp:posOffset>
                </wp:positionH>
                <wp:positionV relativeFrom="paragraph">
                  <wp:posOffset>6320155</wp:posOffset>
                </wp:positionV>
                <wp:extent cx="4884420" cy="182880"/>
                <wp:effectExtent l="0" t="0" r="0" b="7620"/>
                <wp:wrapSquare wrapText="bothSides"/>
                <wp:docPr id="16" name="Text Box 16"/>
                <wp:cNvGraphicFramePr/>
                <a:graphic xmlns:a="http://schemas.openxmlformats.org/drawingml/2006/main">
                  <a:graphicData uri="http://schemas.microsoft.com/office/word/2010/wordprocessingShape">
                    <wps:wsp>
                      <wps:cNvSpPr txBox="1"/>
                      <wps:spPr>
                        <a:xfrm>
                          <a:off x="0" y="0"/>
                          <a:ext cx="4884420" cy="182880"/>
                        </a:xfrm>
                        <a:prstGeom prst="rect">
                          <a:avLst/>
                        </a:prstGeom>
                        <a:solidFill>
                          <a:prstClr val="white"/>
                        </a:solidFill>
                        <a:ln>
                          <a:noFill/>
                        </a:ln>
                      </wps:spPr>
                      <wps:txbx>
                        <w:txbxContent>
                          <w:p w14:paraId="0B1D0A0E" w14:textId="7C0758FF" w:rsidR="00F22FDC" w:rsidRPr="0049037E" w:rsidRDefault="00F22FDC" w:rsidP="00F22FDC">
                            <w:pPr>
                              <w:pStyle w:val="Caption"/>
                              <w:rPr>
                                <w:rFonts w:ascii="Cambria" w:hAnsi="Cambria"/>
                                <w:noProof/>
                              </w:rPr>
                            </w:pPr>
                            <w:r w:rsidRPr="0049037E">
                              <w:rPr>
                                <w:rFonts w:ascii="Cambria" w:hAnsi="Cambria"/>
                              </w:rPr>
                              <w:t xml:space="preserve">Figure </w:t>
                            </w:r>
                            <w:r w:rsidRPr="0049037E">
                              <w:rPr>
                                <w:rFonts w:ascii="Cambria" w:hAnsi="Cambria"/>
                              </w:rPr>
                              <w:fldChar w:fldCharType="begin"/>
                            </w:r>
                            <w:r w:rsidRPr="0049037E">
                              <w:rPr>
                                <w:rFonts w:ascii="Cambria" w:hAnsi="Cambria"/>
                              </w:rPr>
                              <w:instrText xml:space="preserve"> SEQ Figure \* ARABIC </w:instrText>
                            </w:r>
                            <w:r w:rsidRPr="0049037E">
                              <w:rPr>
                                <w:rFonts w:ascii="Cambria" w:hAnsi="Cambria"/>
                              </w:rPr>
                              <w:fldChar w:fldCharType="separate"/>
                            </w:r>
                            <w:r w:rsidRPr="0049037E">
                              <w:rPr>
                                <w:rFonts w:ascii="Cambria" w:hAnsi="Cambria"/>
                                <w:noProof/>
                              </w:rPr>
                              <w:t>7</w:t>
                            </w:r>
                            <w:r w:rsidRPr="0049037E">
                              <w:rPr>
                                <w:rFonts w:ascii="Cambria" w:hAnsi="Cambria"/>
                              </w:rPr>
                              <w:fldChar w:fldCharType="end"/>
                            </w:r>
                            <w:r w:rsidRPr="0049037E">
                              <w:rPr>
                                <w:rFonts w:ascii="Cambria" w:hAnsi="Cambria"/>
                              </w:rPr>
                              <w:t xml:space="preserve"> - Volatility Surface by changing phi for S&amp;P 500 (left) and STOXX Europe 600 (right)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30FF8" id="Text Box 16" o:spid="_x0000_s1031" type="#_x0000_t202" style="position:absolute;left:0;text-align:left;margin-left:55.5pt;margin-top:497.65pt;width:384.6pt;height:14.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" stroked="f">
                <v:textbox inset="0,0,0,0">
                  <w:txbxContent>
                    <w:p w14:paraId="0B1D0A0E" w14:textId="7C0758FF" w:rsidR="00F22FDC" w:rsidRPr="0049037E" w:rsidRDefault="00F22FDC" w:rsidP="00F22FDC">
                      <w:pPr>
                        <w:pStyle w:val="Caption"/>
                        <w:rPr>
                          <w:rFonts w:ascii="Cambria" w:hAnsi="Cambria"/>
                          <w:noProof/>
                        </w:rPr>
                      </w:pPr>
                      <w:r w:rsidRPr="0049037E">
                        <w:rPr>
                          <w:rFonts w:ascii="Cambria" w:hAnsi="Cambria"/>
                        </w:rPr>
                        <w:t xml:space="preserve">Figure </w:t>
                      </w:r>
                      <w:r w:rsidRPr="0049037E">
                        <w:rPr>
                          <w:rFonts w:ascii="Cambria" w:hAnsi="Cambria"/>
                        </w:rPr>
                        <w:fldChar w:fldCharType="begin"/>
                      </w:r>
                      <w:r w:rsidRPr="0049037E">
                        <w:rPr>
                          <w:rFonts w:ascii="Cambria" w:hAnsi="Cambria"/>
                        </w:rPr>
                        <w:instrText xml:space="preserve"> SEQ Figure \* ARABIC </w:instrText>
                      </w:r>
                      <w:r w:rsidRPr="0049037E">
                        <w:rPr>
                          <w:rFonts w:ascii="Cambria" w:hAnsi="Cambria"/>
                        </w:rPr>
                        <w:fldChar w:fldCharType="separate"/>
                      </w:r>
                      <w:r w:rsidRPr="0049037E">
                        <w:rPr>
                          <w:rFonts w:ascii="Cambria" w:hAnsi="Cambria"/>
                          <w:noProof/>
                        </w:rPr>
                        <w:t>7</w:t>
                      </w:r>
                      <w:r w:rsidRPr="0049037E">
                        <w:rPr>
                          <w:rFonts w:ascii="Cambria" w:hAnsi="Cambria"/>
                        </w:rPr>
                        <w:fldChar w:fldCharType="end"/>
                      </w:r>
                      <w:r w:rsidRPr="0049037E">
                        <w:rPr>
                          <w:rFonts w:ascii="Cambria" w:hAnsi="Cambria"/>
                        </w:rPr>
                        <w:t xml:space="preserve"> - Volatility Surface by changing phi for S&amp;P 500 (left) and STOXX Europe 600 (right) options</w:t>
                      </w:r>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14:anchorId="0F5364F7" wp14:editId="5C88CB02">
                <wp:simplePos x="0" y="0"/>
                <wp:positionH relativeFrom="column">
                  <wp:posOffset>598170</wp:posOffset>
                </wp:positionH>
                <wp:positionV relativeFrom="paragraph">
                  <wp:posOffset>3399790</wp:posOffset>
                </wp:positionV>
                <wp:extent cx="5181600" cy="182880"/>
                <wp:effectExtent l="0" t="0" r="0" b="7620"/>
                <wp:wrapSquare wrapText="bothSides"/>
                <wp:docPr id="17" name="Text Box 17"/>
                <wp:cNvGraphicFramePr/>
                <a:graphic xmlns:a="http://schemas.openxmlformats.org/drawingml/2006/main">
                  <a:graphicData uri="http://schemas.microsoft.com/office/word/2010/wordprocessingShape">
                    <wps:wsp>
                      <wps:cNvSpPr txBox="1"/>
                      <wps:spPr>
                        <a:xfrm>
                          <a:off x="0" y="0"/>
                          <a:ext cx="5181600" cy="182880"/>
                        </a:xfrm>
                        <a:prstGeom prst="rect">
                          <a:avLst/>
                        </a:prstGeom>
                        <a:solidFill>
                          <a:prstClr val="white"/>
                        </a:solidFill>
                        <a:ln>
                          <a:noFill/>
                        </a:ln>
                      </wps:spPr>
                      <wps:txbx>
                        <w:txbxContent>
                          <w:p w14:paraId="67159907" w14:textId="490A050E" w:rsidR="00F22FDC" w:rsidRPr="0049037E" w:rsidRDefault="00F22FDC" w:rsidP="00F22FDC">
                            <w:pPr>
                              <w:pStyle w:val="Caption"/>
                              <w:rPr>
                                <w:rFonts w:ascii="Cambria" w:hAnsi="Cambria"/>
                                <w:noProof/>
                              </w:rPr>
                            </w:pPr>
                            <w:r w:rsidRPr="0049037E">
                              <w:rPr>
                                <w:rFonts w:ascii="Cambria" w:hAnsi="Cambria"/>
                              </w:rPr>
                              <w:t xml:space="preserve">Figure </w:t>
                            </w:r>
                            <w:r w:rsidRPr="0049037E">
                              <w:rPr>
                                <w:rFonts w:ascii="Cambria" w:hAnsi="Cambria"/>
                              </w:rPr>
                              <w:fldChar w:fldCharType="begin"/>
                            </w:r>
                            <w:r w:rsidRPr="0049037E">
                              <w:rPr>
                                <w:rFonts w:ascii="Cambria" w:hAnsi="Cambria"/>
                              </w:rPr>
                              <w:instrText xml:space="preserve"> SEQ Figure \* ARABIC </w:instrText>
                            </w:r>
                            <w:r w:rsidRPr="0049037E">
                              <w:rPr>
                                <w:rFonts w:ascii="Cambria" w:hAnsi="Cambria"/>
                              </w:rPr>
                              <w:fldChar w:fldCharType="separate"/>
                            </w:r>
                            <w:r w:rsidRPr="0049037E">
                              <w:rPr>
                                <w:rFonts w:ascii="Cambria" w:hAnsi="Cambria"/>
                                <w:noProof/>
                              </w:rPr>
                              <w:t>6</w:t>
                            </w:r>
                            <w:r w:rsidRPr="0049037E">
                              <w:rPr>
                                <w:rFonts w:ascii="Cambria" w:hAnsi="Cambria"/>
                              </w:rPr>
                              <w:fldChar w:fldCharType="end"/>
                            </w:r>
                            <w:r w:rsidRPr="0049037E">
                              <w:rPr>
                                <w:rFonts w:ascii="Cambria" w:hAnsi="Cambria"/>
                              </w:rPr>
                              <w:t xml:space="preserve"> - Volatility Surface by changing lambda </w:t>
                            </w:r>
                            <w:r w:rsidR="0049037E">
                              <w:rPr>
                                <w:rFonts w:ascii="Cambria" w:hAnsi="Cambria"/>
                              </w:rPr>
                              <w:t xml:space="preserve">P </w:t>
                            </w:r>
                            <w:r w:rsidRPr="0049037E">
                              <w:rPr>
                                <w:rFonts w:ascii="Cambria" w:hAnsi="Cambria"/>
                              </w:rPr>
                              <w:t>for S&amp;P 500 (left) and STOXX Europe 600 (right)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64F7" id="Text Box 17" o:spid="_x0000_s1032" type="#_x0000_t202" style="position:absolute;left:0;text-align:left;margin-left:47.1pt;margin-top:267.7pt;width:408pt;height:1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" stroked="f">
                <v:textbox inset="0,0,0,0">
                  <w:txbxContent>
                    <w:p w14:paraId="67159907" w14:textId="490A050E" w:rsidR="00F22FDC" w:rsidRPr="0049037E" w:rsidRDefault="00F22FDC" w:rsidP="00F22FDC">
                      <w:pPr>
                        <w:pStyle w:val="Caption"/>
                        <w:rPr>
                          <w:rFonts w:ascii="Cambria" w:hAnsi="Cambria"/>
                          <w:noProof/>
                        </w:rPr>
                      </w:pPr>
                      <w:r w:rsidRPr="0049037E">
                        <w:rPr>
                          <w:rFonts w:ascii="Cambria" w:hAnsi="Cambria"/>
                        </w:rPr>
                        <w:t xml:space="preserve">Figure </w:t>
                      </w:r>
                      <w:r w:rsidRPr="0049037E">
                        <w:rPr>
                          <w:rFonts w:ascii="Cambria" w:hAnsi="Cambria"/>
                        </w:rPr>
                        <w:fldChar w:fldCharType="begin"/>
                      </w:r>
                      <w:r w:rsidRPr="0049037E">
                        <w:rPr>
                          <w:rFonts w:ascii="Cambria" w:hAnsi="Cambria"/>
                        </w:rPr>
                        <w:instrText xml:space="preserve"> SEQ Figure \* ARABIC </w:instrText>
                      </w:r>
                      <w:r w:rsidRPr="0049037E">
                        <w:rPr>
                          <w:rFonts w:ascii="Cambria" w:hAnsi="Cambria"/>
                        </w:rPr>
                        <w:fldChar w:fldCharType="separate"/>
                      </w:r>
                      <w:r w:rsidRPr="0049037E">
                        <w:rPr>
                          <w:rFonts w:ascii="Cambria" w:hAnsi="Cambria"/>
                          <w:noProof/>
                        </w:rPr>
                        <w:t>6</w:t>
                      </w:r>
                      <w:r w:rsidRPr="0049037E">
                        <w:rPr>
                          <w:rFonts w:ascii="Cambria" w:hAnsi="Cambria"/>
                        </w:rPr>
                        <w:fldChar w:fldCharType="end"/>
                      </w:r>
                      <w:r w:rsidRPr="0049037E">
                        <w:rPr>
                          <w:rFonts w:ascii="Cambria" w:hAnsi="Cambria"/>
                        </w:rPr>
                        <w:t xml:space="preserve"> - Volatility Surface by changing lambda </w:t>
                      </w:r>
                      <w:r w:rsidR="0049037E">
                        <w:rPr>
                          <w:rFonts w:ascii="Cambria" w:hAnsi="Cambria"/>
                        </w:rPr>
                        <w:t xml:space="preserve">P </w:t>
                      </w:r>
                      <w:r w:rsidRPr="0049037E">
                        <w:rPr>
                          <w:rFonts w:ascii="Cambria" w:hAnsi="Cambria"/>
                        </w:rPr>
                        <w:t>for S&amp;P 500 (left) and STOXX Europe 600 (right) options</w:t>
                      </w:r>
                    </w:p>
                  </w:txbxContent>
                </v:textbox>
                <w10:wrap type="square"/>
              </v:shape>
            </w:pict>
          </mc:Fallback>
        </mc:AlternateContent>
      </w:r>
      <w:r w:rsidR="00F22FDC" w:rsidRPr="00B47E3C">
        <w:rPr>
          <w:noProof/>
        </w:rPr>
        <w:drawing>
          <wp:anchor distT="0" distB="0" distL="114300" distR="114300" simplePos="0" relativeHeight="251683840" behindDoc="0" locked="0" layoutInCell="1" allowOverlap="1" wp14:anchorId="1F2AB5C8" wp14:editId="665D025F">
            <wp:simplePos x="0" y="0"/>
            <wp:positionH relativeFrom="column">
              <wp:posOffset>3112135</wp:posOffset>
            </wp:positionH>
            <wp:positionV relativeFrom="paragraph">
              <wp:posOffset>3624580</wp:posOffset>
            </wp:positionV>
            <wp:extent cx="2952115" cy="267462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2115" cy="2674620"/>
                    </a:xfrm>
                    <a:prstGeom prst="rect">
                      <a:avLst/>
                    </a:prstGeom>
                  </pic:spPr>
                </pic:pic>
              </a:graphicData>
            </a:graphic>
            <wp14:sizeRelH relativeFrom="margin">
              <wp14:pctWidth>0</wp14:pctWidth>
            </wp14:sizeRelH>
            <wp14:sizeRelV relativeFrom="margin">
              <wp14:pctHeight>0</wp14:pctHeight>
            </wp14:sizeRelV>
          </wp:anchor>
        </w:drawing>
      </w:r>
      <w:r w:rsidR="00F22FDC" w:rsidRPr="00E06AC6">
        <w:rPr>
          <w:noProof/>
        </w:rPr>
        <w:drawing>
          <wp:anchor distT="0" distB="0" distL="114300" distR="114300" simplePos="0" relativeHeight="251682816" behindDoc="0" locked="0" layoutInCell="1" allowOverlap="1" wp14:anchorId="7C48BB23" wp14:editId="4129EC81">
            <wp:simplePos x="0" y="0"/>
            <wp:positionH relativeFrom="column">
              <wp:posOffset>72390</wp:posOffset>
            </wp:positionH>
            <wp:positionV relativeFrom="paragraph">
              <wp:posOffset>3624580</wp:posOffset>
            </wp:positionV>
            <wp:extent cx="2994660" cy="26746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4660" cy="2674620"/>
                    </a:xfrm>
                    <a:prstGeom prst="rect">
                      <a:avLst/>
                    </a:prstGeom>
                  </pic:spPr>
                </pic:pic>
              </a:graphicData>
            </a:graphic>
            <wp14:sizeRelH relativeFrom="margin">
              <wp14:pctWidth>0</wp14:pctWidth>
            </wp14:sizeRelH>
            <wp14:sizeRelV relativeFrom="margin">
              <wp14:pctHeight>0</wp14:pctHeight>
            </wp14:sizeRelV>
          </wp:anchor>
        </w:drawing>
      </w:r>
      <w:r w:rsidR="00F22FDC" w:rsidRPr="00B47E3C">
        <w:rPr>
          <w:noProof/>
        </w:rPr>
        <w:drawing>
          <wp:anchor distT="0" distB="0" distL="114300" distR="114300" simplePos="0" relativeHeight="251681792" behindDoc="0" locked="0" layoutInCell="1" allowOverlap="1" wp14:anchorId="0A1943CD" wp14:editId="57883F6A">
            <wp:simplePos x="0" y="0"/>
            <wp:positionH relativeFrom="column">
              <wp:posOffset>3112770</wp:posOffset>
            </wp:positionH>
            <wp:positionV relativeFrom="paragraph">
              <wp:posOffset>803275</wp:posOffset>
            </wp:positionV>
            <wp:extent cx="2994660" cy="25965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4660" cy="2596515"/>
                    </a:xfrm>
                    <a:prstGeom prst="rect">
                      <a:avLst/>
                    </a:prstGeom>
                  </pic:spPr>
                </pic:pic>
              </a:graphicData>
            </a:graphic>
            <wp14:sizeRelH relativeFrom="margin">
              <wp14:pctWidth>0</wp14:pctWidth>
            </wp14:sizeRelH>
            <wp14:sizeRelV relativeFrom="margin">
              <wp14:pctHeight>0</wp14:pctHeight>
            </wp14:sizeRelV>
          </wp:anchor>
        </w:drawing>
      </w:r>
      <w:r w:rsidR="00F22FDC" w:rsidRPr="00E06AC6">
        <w:rPr>
          <w:noProof/>
        </w:rPr>
        <w:drawing>
          <wp:anchor distT="0" distB="0" distL="114300" distR="114300" simplePos="0" relativeHeight="251680768" behindDoc="0" locked="0" layoutInCell="1" allowOverlap="1" wp14:anchorId="2E004B26" wp14:editId="20F5A1AC">
            <wp:simplePos x="0" y="0"/>
            <wp:positionH relativeFrom="column">
              <wp:posOffset>118110</wp:posOffset>
            </wp:positionH>
            <wp:positionV relativeFrom="paragraph">
              <wp:posOffset>803275</wp:posOffset>
            </wp:positionV>
            <wp:extent cx="2948940" cy="259842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8940" cy="2598420"/>
                    </a:xfrm>
                    <a:prstGeom prst="rect">
                      <a:avLst/>
                    </a:prstGeom>
                  </pic:spPr>
                </pic:pic>
              </a:graphicData>
            </a:graphic>
            <wp14:sizeRelH relativeFrom="margin">
              <wp14:pctWidth>0</wp14:pctWidth>
            </wp14:sizeRelH>
          </wp:anchor>
        </w:drawing>
      </w:r>
      <w:r w:rsidR="00AC45C6">
        <w:rPr>
          <w:rFonts w:ascii="Cambria" w:eastAsia="Cambria" w:hAnsi="Cambria" w:cs="Cambria"/>
        </w:rPr>
        <w:t>We decided to present t</w:t>
      </w:r>
      <w:r w:rsidR="003A3AD5">
        <w:rPr>
          <w:rFonts w:ascii="Cambria" w:eastAsia="Cambria" w:hAnsi="Cambria" w:cs="Cambria"/>
        </w:rPr>
        <w:t xml:space="preserve">he sensitivity analysis of </w:t>
      </w:r>
      <w:proofErr w:type="spellStart"/>
      <w:r w:rsidR="00AC45C6">
        <w:rPr>
          <w:rFonts w:ascii="Cambria" w:eastAsia="Cambria" w:hAnsi="Cambria" w:cs="Cambria"/>
        </w:rPr>
        <w:t>λ</w:t>
      </w:r>
      <w:r w:rsidR="00AC45C6">
        <w:rPr>
          <w:rFonts w:ascii="Cambria" w:eastAsia="Cambria" w:hAnsi="Cambria" w:cs="Cambria"/>
          <w:vertAlign w:val="superscript"/>
        </w:rPr>
        <w:t>P</w:t>
      </w:r>
      <w:proofErr w:type="spellEnd"/>
      <w:r w:rsidR="00AC45C6">
        <w:rPr>
          <w:rFonts w:ascii="Cambria" w:eastAsia="Cambria" w:hAnsi="Cambria" w:cs="Cambria"/>
        </w:rPr>
        <w:t xml:space="preserve"> </w:t>
      </w:r>
      <w:r w:rsidR="003A3AD5">
        <w:rPr>
          <w:rFonts w:ascii="Cambria" w:eastAsia="Cambria" w:hAnsi="Cambria" w:cs="Cambria"/>
        </w:rPr>
        <w:t>and</w:t>
      </w:r>
      <w:r w:rsidR="00AC45C6">
        <w:rPr>
          <w:rFonts w:ascii="Cambria" w:eastAsia="Cambria" w:hAnsi="Cambria" w:cs="Cambria"/>
        </w:rPr>
        <w:t xml:space="preserve"> ϕ</w:t>
      </w:r>
      <w:r w:rsidR="003A3AD5">
        <w:rPr>
          <w:rFonts w:ascii="Cambria" w:eastAsia="Cambria" w:hAnsi="Cambria" w:cs="Cambria"/>
        </w:rPr>
        <w:t xml:space="preserve"> </w:t>
      </w:r>
      <w:r w:rsidR="00AC45C6">
        <w:rPr>
          <w:rFonts w:ascii="Cambria" w:eastAsia="Cambria" w:hAnsi="Cambria" w:cs="Cambria"/>
        </w:rPr>
        <w:t xml:space="preserve">jointly since these quantities, respectively the expected number of jumps under the historical measure and the risk aversion, actually combine in one unique relevant parameter, </w:t>
      </w:r>
      <w:proofErr w:type="spellStart"/>
      <w:r w:rsidR="00AC45C6">
        <w:rPr>
          <w:rFonts w:ascii="Cambria" w:eastAsia="Cambria" w:hAnsi="Cambria" w:cs="Cambria"/>
        </w:rPr>
        <w:t>λ</w:t>
      </w:r>
      <w:r w:rsidR="00AC45C6">
        <w:rPr>
          <w:rFonts w:ascii="Cambria" w:eastAsia="Cambria" w:hAnsi="Cambria" w:cs="Cambria"/>
          <w:vertAlign w:val="superscript"/>
        </w:rPr>
        <w:t>Q</w:t>
      </w:r>
      <w:proofErr w:type="spellEnd"/>
      <w:r w:rsidR="00AC45C6">
        <w:rPr>
          <w:rFonts w:ascii="Cambria" w:eastAsia="Cambria" w:hAnsi="Cambria" w:cs="Cambria"/>
        </w:rPr>
        <w:t xml:space="preserve">. Given </w:t>
      </w:r>
      <w:proofErr w:type="spellStart"/>
      <w:r w:rsidR="00AC45C6">
        <w:rPr>
          <w:rFonts w:ascii="Cambria" w:eastAsia="Cambria" w:hAnsi="Cambria" w:cs="Cambria"/>
        </w:rPr>
        <w:t>λ</w:t>
      </w:r>
      <w:r w:rsidR="00AC45C6">
        <w:rPr>
          <w:rFonts w:ascii="Cambria" w:eastAsia="Cambria" w:hAnsi="Cambria" w:cs="Cambria"/>
          <w:vertAlign w:val="superscript"/>
        </w:rPr>
        <w:t>P</w:t>
      </w:r>
      <w:proofErr w:type="spellEnd"/>
      <w:r w:rsidR="00AC45C6">
        <w:rPr>
          <w:rFonts w:ascii="Cambria" w:eastAsia="Cambria" w:hAnsi="Cambria" w:cs="Cambria"/>
        </w:rPr>
        <w:t>, a higher risk aversion increases the price of risk and translates in a higher number of jumps to be expected in a risk-adjusted world.</w:t>
      </w:r>
    </w:p>
    <w:p w14:paraId="5E168E4E" w14:textId="77777777" w:rsidR="00553C90" w:rsidRDefault="003A3AD5" w:rsidP="00553C90">
      <w:pPr>
        <w:widowControl w:val="0"/>
        <w:tabs>
          <w:tab w:val="right" w:pos="9630"/>
        </w:tabs>
        <w:spacing w:after="0"/>
        <w:jc w:val="both"/>
        <w:rPr>
          <w:rFonts w:ascii="Cambria" w:eastAsia="Cambria" w:hAnsi="Cambria" w:cs="Cambria"/>
        </w:rPr>
      </w:pPr>
      <w:r>
        <w:rPr>
          <w:rFonts w:ascii="Cambria" w:eastAsia="Cambria" w:hAnsi="Cambria" w:cs="Cambria"/>
        </w:rPr>
        <w:t>Also in this case, the graphs show an inversely proportional relationship between lambda/phi and the implied volatility: the higher the lambda/phi, the lower the IV and vice</w:t>
      </w:r>
      <w:r w:rsidR="00F22FDC">
        <w:rPr>
          <w:rFonts w:ascii="Cambria" w:eastAsia="Cambria" w:hAnsi="Cambria" w:cs="Cambria"/>
        </w:rPr>
        <w:t>-</w:t>
      </w:r>
      <w:r>
        <w:rPr>
          <w:rFonts w:ascii="Cambria" w:eastAsia="Cambria" w:hAnsi="Cambria" w:cs="Cambria"/>
        </w:rPr>
        <w:t xml:space="preserve">versa. </w:t>
      </w:r>
      <w:r w:rsidR="00F22FDC">
        <w:rPr>
          <w:rFonts w:ascii="Cambria" w:eastAsia="Cambria" w:hAnsi="Cambria" w:cs="Cambria"/>
        </w:rPr>
        <w:t>T</w:t>
      </w:r>
      <w:r>
        <w:rPr>
          <w:rFonts w:ascii="Cambria" w:eastAsia="Cambria" w:hAnsi="Cambria" w:cs="Cambria"/>
        </w:rPr>
        <w:t xml:space="preserve">hese results are </w:t>
      </w:r>
      <w:r w:rsidR="00F22FDC">
        <w:rPr>
          <w:rFonts w:ascii="Cambria" w:eastAsia="Cambria" w:hAnsi="Cambria" w:cs="Cambria"/>
        </w:rPr>
        <w:t xml:space="preserve">not </w:t>
      </w:r>
      <w:r>
        <w:rPr>
          <w:rFonts w:ascii="Cambria" w:eastAsia="Cambria" w:hAnsi="Cambria" w:cs="Cambria"/>
        </w:rPr>
        <w:lastRenderedPageBreak/>
        <w:t>surprising given what has been discussed above</w:t>
      </w:r>
      <w:r w:rsidR="00F22FDC">
        <w:rPr>
          <w:rFonts w:ascii="Cambria" w:eastAsia="Cambria" w:hAnsi="Cambria" w:cs="Cambria"/>
        </w:rPr>
        <w:t>.</w:t>
      </w:r>
      <w:r>
        <w:rPr>
          <w:rFonts w:ascii="Cambria" w:eastAsia="Cambria" w:hAnsi="Cambria" w:cs="Cambria"/>
        </w:rPr>
        <w:t xml:space="preserve"> </w:t>
      </w:r>
      <w:r w:rsidR="00710499">
        <w:rPr>
          <w:rFonts w:ascii="Cambria" w:eastAsia="Cambria" w:hAnsi="Cambria" w:cs="Cambria"/>
        </w:rPr>
        <w:t>λ</w:t>
      </w:r>
      <w:r w:rsidR="00710499">
        <w:rPr>
          <w:rFonts w:ascii="Cambria" w:eastAsia="Cambria" w:hAnsi="Cambria" w:cs="Cambria"/>
        </w:rPr>
        <w:t xml:space="preserve"> </w:t>
      </w:r>
      <w:r>
        <w:rPr>
          <w:rFonts w:ascii="Cambria" w:eastAsia="Cambria" w:hAnsi="Cambria" w:cs="Cambria"/>
        </w:rPr>
        <w:t>represents both the expected value and the variance of the Poisson distribution, namely the random variable that describes the number of jumps</w:t>
      </w:r>
      <w:r w:rsidR="00710499">
        <w:rPr>
          <w:rFonts w:ascii="Cambria" w:eastAsia="Cambria" w:hAnsi="Cambria" w:cs="Cambria"/>
        </w:rPr>
        <w:t>, hence a higher value means a higher jump risk which ends up offsetting the risk created by the Brownian motion</w:t>
      </w:r>
      <w:r>
        <w:rPr>
          <w:rFonts w:ascii="Cambria" w:eastAsia="Cambria" w:hAnsi="Cambria" w:cs="Cambria"/>
        </w:rPr>
        <w:t>.</w:t>
      </w:r>
    </w:p>
    <w:p w14:paraId="61FC9916" w14:textId="5F01AB54" w:rsidR="0050395A" w:rsidRDefault="00553C90" w:rsidP="00A42CE1">
      <w:pPr>
        <w:widowControl w:val="0"/>
        <w:tabs>
          <w:tab w:val="right" w:pos="9630"/>
        </w:tabs>
        <w:spacing w:after="240"/>
        <w:jc w:val="both"/>
        <w:rPr>
          <w:rFonts w:ascii="Cambria" w:eastAsia="Cambria" w:hAnsi="Cambria" w:cs="Cambria"/>
        </w:rPr>
      </w:pPr>
      <w:r>
        <w:rPr>
          <w:rFonts w:ascii="Cambria" w:eastAsia="Cambria" w:hAnsi="Cambria" w:cs="Cambria"/>
        </w:rPr>
        <w:t xml:space="preserve">It should be noted that, as with </w:t>
      </w:r>
      <w:r w:rsidRPr="00553C90">
        <w:rPr>
          <w:rFonts w:ascii="Cambria" w:eastAsia="Cambria" w:hAnsi="Cambria" w:cs="Cambria"/>
        </w:rPr>
        <w:t>β</w:t>
      </w:r>
      <w:r>
        <w:rPr>
          <w:rFonts w:ascii="Cambria" w:eastAsia="Cambria" w:hAnsi="Cambria" w:cs="Cambria"/>
        </w:rPr>
        <w:t xml:space="preserve">, we had to modify the ranges for the STOXX Europe options. The surface of the latter, in fact, jumps up to unacceptable values when </w:t>
      </w:r>
      <w:proofErr w:type="spellStart"/>
      <w:r>
        <w:rPr>
          <w:rFonts w:ascii="Cambria" w:eastAsia="Cambria" w:hAnsi="Cambria" w:cs="Cambria"/>
        </w:rPr>
        <w:t>λ</w:t>
      </w:r>
      <w:r>
        <w:rPr>
          <w:rFonts w:ascii="Cambria" w:eastAsia="Cambria" w:hAnsi="Cambria" w:cs="Cambria"/>
          <w:vertAlign w:val="superscript"/>
        </w:rPr>
        <w:t>P</w:t>
      </w:r>
      <w:proofErr w:type="spellEnd"/>
      <w:r>
        <w:rPr>
          <w:rFonts w:ascii="Cambria" w:eastAsia="Cambria" w:hAnsi="Cambria" w:cs="Cambria"/>
        </w:rPr>
        <w:t xml:space="preserve"> is lower than 2 and shows a very relevant sensitivity to the risk aversion.</w:t>
      </w:r>
    </w:p>
    <w:p w14:paraId="1C8A2C5C" w14:textId="03EC6012" w:rsidR="00A42CE1" w:rsidRDefault="00553C90" w:rsidP="00553C90">
      <w:pPr>
        <w:widowControl w:val="0"/>
        <w:tabs>
          <w:tab w:val="right" w:pos="9630"/>
        </w:tabs>
        <w:spacing w:after="120"/>
        <w:jc w:val="both"/>
        <w:rPr>
          <w:rFonts w:ascii="Cambria" w:eastAsia="Cambria" w:hAnsi="Cambria" w:cs="Cambria"/>
          <w:b/>
          <w:color w:val="385623" w:themeColor="accent6" w:themeShade="80"/>
          <w:sz w:val="32"/>
          <w:szCs w:val="32"/>
        </w:rPr>
      </w:pPr>
      <w:r w:rsidRPr="00553C90">
        <w:rPr>
          <w:rFonts w:ascii="Cambria" w:eastAsia="Cambria" w:hAnsi="Cambria" w:cs="Cambria"/>
          <w:b/>
          <w:color w:val="385623" w:themeColor="accent6" w:themeShade="80"/>
          <w:sz w:val="32"/>
          <w:szCs w:val="32"/>
        </w:rPr>
        <w:t>Conclusion and Possible Extension</w:t>
      </w:r>
    </w:p>
    <w:p w14:paraId="4C05AD9F" w14:textId="77777777" w:rsidR="00553C90" w:rsidRDefault="00553C90" w:rsidP="00553C90">
      <w:pPr>
        <w:widowControl w:val="0"/>
        <w:tabs>
          <w:tab w:val="right" w:pos="9630"/>
        </w:tabs>
        <w:spacing w:after="0"/>
        <w:jc w:val="both"/>
        <w:rPr>
          <w:rFonts w:ascii="Cambria" w:eastAsia="Cambria" w:hAnsi="Cambria" w:cs="Cambria"/>
          <w:bCs/>
          <w:color w:val="000000" w:themeColor="text1"/>
        </w:rPr>
      </w:pPr>
      <w:r>
        <w:rPr>
          <w:rFonts w:ascii="Cambria" w:eastAsia="Cambria" w:hAnsi="Cambria" w:cs="Cambria"/>
          <w:bCs/>
          <w:color w:val="000000" w:themeColor="text1"/>
        </w:rPr>
        <w:t xml:space="preserve">As said in the first sections, our intentions were to study how much the parameters affected the implied volatility surface in the JD model. </w:t>
      </w:r>
    </w:p>
    <w:p w14:paraId="2A08A62F" w14:textId="2B40BCDC" w:rsidR="00553C90" w:rsidRDefault="00553C90" w:rsidP="00553C90">
      <w:pPr>
        <w:widowControl w:val="0"/>
        <w:tabs>
          <w:tab w:val="right" w:pos="9630"/>
        </w:tabs>
        <w:spacing w:after="0"/>
        <w:jc w:val="both"/>
        <w:rPr>
          <w:rFonts w:ascii="Cambria" w:eastAsia="Cambria" w:hAnsi="Cambria" w:cs="Cambria"/>
          <w:bCs/>
          <w:color w:val="000000" w:themeColor="text1"/>
        </w:rPr>
      </w:pPr>
      <w:r>
        <w:rPr>
          <w:rFonts w:ascii="Cambria" w:eastAsia="Cambria" w:hAnsi="Cambria" w:cs="Cambria"/>
          <w:bCs/>
          <w:color w:val="000000" w:themeColor="text1"/>
        </w:rPr>
        <w:t xml:space="preserve">We found that, as predicted, parameters that increase the jump risk tend to offset the market risk priced in market quotes. Moreover, </w:t>
      </w:r>
      <w:r w:rsidR="00246EBF">
        <w:rPr>
          <w:rFonts w:ascii="Cambria" w:eastAsia="Cambria" w:hAnsi="Cambria" w:cs="Cambria"/>
          <w:bCs/>
          <w:color w:val="000000" w:themeColor="text1"/>
        </w:rPr>
        <w:t>all</w:t>
      </w:r>
      <w:r>
        <w:rPr>
          <w:rFonts w:ascii="Cambria" w:eastAsia="Cambria" w:hAnsi="Cambria" w:cs="Cambria"/>
          <w:bCs/>
          <w:color w:val="000000" w:themeColor="text1"/>
        </w:rPr>
        <w:t xml:space="preserve"> parameters are interconnected and the surface abruptly changes as soon as </w:t>
      </w:r>
      <w:r w:rsidR="00246EBF">
        <w:rPr>
          <w:rFonts w:ascii="Cambria" w:eastAsia="Cambria" w:hAnsi="Cambria" w:cs="Cambria"/>
          <w:bCs/>
          <w:color w:val="000000" w:themeColor="text1"/>
        </w:rPr>
        <w:t xml:space="preserve">the </w:t>
      </w:r>
      <w:r>
        <w:rPr>
          <w:rFonts w:ascii="Cambria" w:eastAsia="Cambria" w:hAnsi="Cambria" w:cs="Cambria"/>
          <w:bCs/>
          <w:color w:val="000000" w:themeColor="text1"/>
        </w:rPr>
        <w:t xml:space="preserve">ranges are extended and/or </w:t>
      </w:r>
      <w:r w:rsidR="00246EBF">
        <w:rPr>
          <w:rFonts w:ascii="Cambria" w:eastAsia="Cambria" w:hAnsi="Cambria" w:cs="Cambria"/>
          <w:bCs/>
          <w:color w:val="000000" w:themeColor="text1"/>
        </w:rPr>
        <w:t xml:space="preserve">the </w:t>
      </w:r>
      <w:r>
        <w:rPr>
          <w:rFonts w:ascii="Cambria" w:eastAsia="Cambria" w:hAnsi="Cambria" w:cs="Cambria"/>
          <w:bCs/>
          <w:color w:val="000000" w:themeColor="text1"/>
        </w:rPr>
        <w:t>other parameters are modified.</w:t>
      </w:r>
    </w:p>
    <w:p w14:paraId="7D7B42F9" w14:textId="57BC8D15" w:rsidR="008D0FA5" w:rsidRDefault="008D0FA5" w:rsidP="00553C90">
      <w:pPr>
        <w:widowControl w:val="0"/>
        <w:tabs>
          <w:tab w:val="right" w:pos="9630"/>
        </w:tabs>
        <w:spacing w:after="0"/>
        <w:jc w:val="both"/>
        <w:rPr>
          <w:rFonts w:ascii="Cambria" w:eastAsia="Cambria" w:hAnsi="Cambria" w:cs="Cambria"/>
          <w:bCs/>
          <w:color w:val="000000" w:themeColor="text1"/>
        </w:rPr>
      </w:pPr>
      <w:r>
        <w:rPr>
          <w:rFonts w:ascii="Cambria" w:eastAsia="Cambria" w:hAnsi="Cambria" w:cs="Cambria"/>
          <w:bCs/>
          <w:color w:val="000000" w:themeColor="text1"/>
        </w:rPr>
        <w:t xml:space="preserve">We also saw how the </w:t>
      </w:r>
      <w:r w:rsidR="00246EBF">
        <w:rPr>
          <w:rFonts w:ascii="Cambria" w:eastAsia="Cambria" w:hAnsi="Cambria" w:cs="Cambria"/>
          <w:bCs/>
          <w:color w:val="000000" w:themeColor="text1"/>
        </w:rPr>
        <w:t>surface</w:t>
      </w:r>
      <w:r>
        <w:rPr>
          <w:rFonts w:ascii="Cambria" w:eastAsia="Cambria" w:hAnsi="Cambria" w:cs="Cambria"/>
          <w:bCs/>
          <w:color w:val="000000" w:themeColor="text1"/>
        </w:rPr>
        <w:t xml:space="preserve"> changes moving from one market to another. Different index options seem to be sensitive to different parameters</w:t>
      </w:r>
      <w:r w:rsidR="00246EBF">
        <w:rPr>
          <w:rFonts w:ascii="Cambria" w:eastAsia="Cambria" w:hAnsi="Cambria" w:cs="Cambria"/>
          <w:bCs/>
          <w:color w:val="000000" w:themeColor="text1"/>
        </w:rPr>
        <w:t xml:space="preserve">. The STOXX Europe 600 options, which have a lower IV than corresponding S&amp;P 500 options when priced through BMS, are much more sensitive to β, </w:t>
      </w:r>
      <w:proofErr w:type="spellStart"/>
      <w:r w:rsidR="00246EBF">
        <w:rPr>
          <w:rFonts w:ascii="Cambria" w:eastAsia="Cambria" w:hAnsi="Cambria" w:cs="Cambria"/>
          <w:bCs/>
          <w:color w:val="000000" w:themeColor="text1"/>
        </w:rPr>
        <w:t>λ</w:t>
      </w:r>
      <w:r w:rsidR="00246EBF">
        <w:rPr>
          <w:rFonts w:ascii="Cambria" w:eastAsia="Cambria" w:hAnsi="Cambria" w:cs="Cambria"/>
          <w:bCs/>
          <w:color w:val="000000" w:themeColor="text1"/>
          <w:vertAlign w:val="superscript"/>
        </w:rPr>
        <w:t>P</w:t>
      </w:r>
      <w:proofErr w:type="spellEnd"/>
      <w:r w:rsidR="00246EBF">
        <w:rPr>
          <w:rFonts w:ascii="Cambria" w:eastAsia="Cambria" w:hAnsi="Cambria" w:cs="Cambria"/>
          <w:bCs/>
          <w:color w:val="000000" w:themeColor="text1"/>
        </w:rPr>
        <w:t xml:space="preserve"> and ϕ. This might come either from the lower volatility to be allotted between the jump and the market risk or from the lower liquidity that these options show when compared to the S&amp;P ones.</w:t>
      </w:r>
    </w:p>
    <w:p w14:paraId="498B7CDF" w14:textId="1D60B9B6" w:rsidR="00553C90" w:rsidRDefault="00553C90" w:rsidP="00951CCF">
      <w:pPr>
        <w:widowControl w:val="0"/>
        <w:tabs>
          <w:tab w:val="right" w:pos="9630"/>
        </w:tabs>
        <w:spacing w:after="240"/>
        <w:jc w:val="both"/>
        <w:rPr>
          <w:rFonts w:ascii="Cambria" w:eastAsia="Cambria" w:hAnsi="Cambria" w:cs="Cambria"/>
          <w:bCs/>
          <w:color w:val="000000" w:themeColor="text1"/>
        </w:rPr>
      </w:pPr>
      <w:r>
        <w:rPr>
          <w:rFonts w:ascii="Cambria" w:eastAsia="Cambria" w:hAnsi="Cambria" w:cs="Cambria"/>
          <w:bCs/>
          <w:color w:val="000000" w:themeColor="text1"/>
        </w:rPr>
        <w:t xml:space="preserve">An interesting extension to our work would be to actually calibrate the models and to check how the </w:t>
      </w:r>
      <w:r w:rsidR="0091162E">
        <w:rPr>
          <w:rFonts w:ascii="Cambria" w:eastAsia="Cambria" w:hAnsi="Cambria" w:cs="Cambria"/>
          <w:bCs/>
          <w:color w:val="000000" w:themeColor="text1"/>
        </w:rPr>
        <w:t xml:space="preserve">implied </w:t>
      </w:r>
      <w:r>
        <w:rPr>
          <w:rFonts w:ascii="Cambria" w:eastAsia="Cambria" w:hAnsi="Cambria" w:cs="Cambria"/>
          <w:bCs/>
          <w:color w:val="000000" w:themeColor="text1"/>
        </w:rPr>
        <w:t>volatility changes when the ranges include the actual estimate of the parameters.</w:t>
      </w:r>
    </w:p>
    <w:p w14:paraId="3E1D9213" w14:textId="34CFEA5F" w:rsidR="00951CCF" w:rsidRDefault="00951CCF" w:rsidP="00951CCF">
      <w:pPr>
        <w:widowControl w:val="0"/>
        <w:tabs>
          <w:tab w:val="right" w:pos="9630"/>
        </w:tabs>
        <w:spacing w:after="120"/>
        <w:jc w:val="both"/>
        <w:rPr>
          <w:rFonts w:ascii="Cambria" w:eastAsia="Cambria" w:hAnsi="Cambria" w:cs="Cambria"/>
          <w:bCs/>
          <w:color w:val="385623" w:themeColor="accent6" w:themeShade="80"/>
        </w:rPr>
      </w:pPr>
      <w:r>
        <w:rPr>
          <w:rFonts w:ascii="Cambria" w:eastAsia="Cambria" w:hAnsi="Cambria" w:cs="Cambria"/>
          <w:b/>
          <w:color w:val="385623" w:themeColor="accent6" w:themeShade="80"/>
          <w:sz w:val="32"/>
          <w:szCs w:val="32"/>
        </w:rPr>
        <w:t>References</w:t>
      </w:r>
    </w:p>
    <w:p w14:paraId="71842DFC" w14:textId="293E97BB" w:rsidR="00475EE4" w:rsidRPr="00475EE4" w:rsidRDefault="00475EE4" w:rsidP="00951CCF">
      <w:pPr>
        <w:widowControl w:val="0"/>
        <w:tabs>
          <w:tab w:val="right" w:pos="9630"/>
        </w:tabs>
        <w:spacing w:after="120"/>
        <w:rPr>
          <w:rFonts w:ascii="Cambria" w:eastAsia="Cambria" w:hAnsi="Cambria" w:cs="Cambria"/>
          <w:bCs/>
          <w:color w:val="000000" w:themeColor="text1"/>
        </w:rPr>
      </w:pPr>
      <w:r w:rsidRPr="00475EE4">
        <w:rPr>
          <w:rFonts w:ascii="Cambria" w:eastAsia="Cambria" w:hAnsi="Cambria" w:cs="Cambria"/>
          <w:bCs/>
          <w:color w:val="000000" w:themeColor="text1"/>
        </w:rPr>
        <w:t xml:space="preserve">Andersen, Leif, </w:t>
      </w:r>
      <w:r>
        <w:rPr>
          <w:rFonts w:ascii="Cambria" w:eastAsia="Cambria" w:hAnsi="Cambria" w:cs="Cambria"/>
          <w:bCs/>
          <w:color w:val="000000" w:themeColor="text1"/>
        </w:rPr>
        <w:t xml:space="preserve">and </w:t>
      </w:r>
      <w:r w:rsidRPr="00475EE4">
        <w:rPr>
          <w:rFonts w:ascii="Cambria" w:eastAsia="Cambria" w:hAnsi="Cambria" w:cs="Cambria"/>
          <w:bCs/>
          <w:color w:val="000000" w:themeColor="text1"/>
        </w:rPr>
        <w:t>Jesper Andreasen</w:t>
      </w:r>
      <w:r>
        <w:rPr>
          <w:rFonts w:ascii="Cambria" w:eastAsia="Cambria" w:hAnsi="Cambria" w:cs="Cambria"/>
          <w:bCs/>
          <w:color w:val="000000" w:themeColor="text1"/>
        </w:rPr>
        <w:t>. (2000)</w:t>
      </w:r>
      <w:r w:rsidRPr="00475EE4">
        <w:rPr>
          <w:rFonts w:ascii="Cambria" w:eastAsia="Cambria" w:hAnsi="Cambria" w:cs="Cambria"/>
          <w:bCs/>
          <w:color w:val="000000" w:themeColor="text1"/>
        </w:rPr>
        <w:t xml:space="preserve">. </w:t>
      </w:r>
      <w:r w:rsidRPr="00475EE4">
        <w:rPr>
          <w:rFonts w:ascii="Cambria" w:eastAsia="Cambria" w:hAnsi="Cambria" w:cs="Cambria"/>
          <w:bCs/>
          <w:i/>
          <w:iCs/>
          <w:color w:val="000000" w:themeColor="text1"/>
        </w:rPr>
        <w:t>Jump Diffusion Processes: Volatility S</w:t>
      </w:r>
      <w:r>
        <w:rPr>
          <w:rFonts w:ascii="Cambria" w:eastAsia="Cambria" w:hAnsi="Cambria" w:cs="Cambria"/>
          <w:bCs/>
          <w:i/>
          <w:iCs/>
          <w:color w:val="000000" w:themeColor="text1"/>
        </w:rPr>
        <w:t>mile Fitting and Numerical Methods for Option Pricing.</w:t>
      </w:r>
      <w:r>
        <w:rPr>
          <w:rFonts w:ascii="Cambria" w:eastAsia="Cambria" w:hAnsi="Cambria" w:cs="Cambria"/>
          <w:bCs/>
          <w:color w:val="000000" w:themeColor="text1"/>
        </w:rPr>
        <w:t xml:space="preserve"> Review of Derivatives Research, 4, 231-262, 2000.</w:t>
      </w:r>
    </w:p>
    <w:p w14:paraId="275F1608" w14:textId="2EA1510F" w:rsidR="00951CCF" w:rsidRDefault="00951CCF" w:rsidP="00951CCF">
      <w:pPr>
        <w:widowControl w:val="0"/>
        <w:tabs>
          <w:tab w:val="right" w:pos="9630"/>
        </w:tabs>
        <w:spacing w:after="120"/>
        <w:rPr>
          <w:rFonts w:ascii="Cambria" w:eastAsia="Cambria" w:hAnsi="Cambria" w:cs="Cambria"/>
          <w:bCs/>
          <w:color w:val="000000" w:themeColor="text1"/>
        </w:rPr>
      </w:pPr>
      <w:r w:rsidRPr="00951CCF">
        <w:rPr>
          <w:rFonts w:ascii="Cambria" w:eastAsia="Cambria" w:hAnsi="Cambria" w:cs="Cambria"/>
          <w:bCs/>
          <w:color w:val="000000" w:themeColor="text1"/>
          <w:lang w:val="it-IT"/>
        </w:rPr>
        <w:t>Battauz, Anna</w:t>
      </w:r>
      <w:r w:rsidR="00475EE4">
        <w:rPr>
          <w:rFonts w:ascii="Cambria" w:eastAsia="Cambria" w:hAnsi="Cambria" w:cs="Cambria"/>
          <w:bCs/>
          <w:color w:val="000000" w:themeColor="text1"/>
          <w:lang w:val="it-IT"/>
        </w:rPr>
        <w:t>. (2020)</w:t>
      </w:r>
      <w:r w:rsidRPr="00951CCF">
        <w:rPr>
          <w:rFonts w:ascii="Cambria" w:eastAsia="Cambria" w:hAnsi="Cambria" w:cs="Cambria"/>
          <w:bCs/>
          <w:color w:val="000000" w:themeColor="text1"/>
          <w:lang w:val="it-IT"/>
        </w:rPr>
        <w:t xml:space="preserve">. </w:t>
      </w:r>
      <w:r w:rsidRPr="00951CCF">
        <w:rPr>
          <w:rFonts w:ascii="Cambria" w:eastAsia="Cambria" w:hAnsi="Cambria" w:cs="Cambria"/>
          <w:bCs/>
          <w:i/>
          <w:iCs/>
          <w:color w:val="000000" w:themeColor="text1"/>
        </w:rPr>
        <w:t>Topics in Quantitative Finance, Lecture Notes for the Graduate Course Applied Numerical Finance.</w:t>
      </w:r>
    </w:p>
    <w:p w14:paraId="31BB5845" w14:textId="6D96F8C5" w:rsidR="00475EE4" w:rsidRDefault="00475EE4" w:rsidP="00951CCF">
      <w:pPr>
        <w:widowControl w:val="0"/>
        <w:tabs>
          <w:tab w:val="right" w:pos="9630"/>
        </w:tabs>
        <w:spacing w:after="120"/>
        <w:rPr>
          <w:rFonts w:ascii="Cambria" w:eastAsia="Cambria" w:hAnsi="Cambria" w:cs="Cambria"/>
          <w:bCs/>
          <w:color w:val="000000" w:themeColor="text1"/>
        </w:rPr>
      </w:pPr>
      <w:r>
        <w:rPr>
          <w:rFonts w:ascii="Cambria" w:eastAsia="Cambria" w:hAnsi="Cambria" w:cs="Cambria"/>
          <w:bCs/>
          <w:color w:val="000000" w:themeColor="text1"/>
        </w:rPr>
        <w:t>Kenton, Will</w:t>
      </w:r>
      <w:r w:rsidR="00B848D9">
        <w:rPr>
          <w:rFonts w:ascii="Cambria" w:eastAsia="Cambria" w:hAnsi="Cambria" w:cs="Cambria"/>
          <w:bCs/>
          <w:color w:val="000000" w:themeColor="text1"/>
        </w:rPr>
        <w:t>.</w:t>
      </w:r>
      <w:r>
        <w:rPr>
          <w:rFonts w:ascii="Cambria" w:eastAsia="Cambria" w:hAnsi="Cambria" w:cs="Cambria"/>
          <w:bCs/>
          <w:color w:val="000000" w:themeColor="text1"/>
        </w:rPr>
        <w:t xml:space="preserve"> (2020). </w:t>
      </w:r>
      <w:r>
        <w:rPr>
          <w:rFonts w:ascii="Cambria" w:eastAsia="Cambria" w:hAnsi="Cambria" w:cs="Cambria"/>
          <w:bCs/>
          <w:i/>
          <w:iCs/>
          <w:color w:val="000000" w:themeColor="text1"/>
        </w:rPr>
        <w:t>Volatility Skew Definition.</w:t>
      </w:r>
      <w:r>
        <w:rPr>
          <w:rFonts w:ascii="Cambria" w:eastAsia="Cambria" w:hAnsi="Cambria" w:cs="Cambria"/>
          <w:bCs/>
          <w:color w:val="000000" w:themeColor="text1"/>
        </w:rPr>
        <w:t xml:space="preserve"> </w:t>
      </w:r>
      <w:r w:rsidR="0010647E">
        <w:rPr>
          <w:rFonts w:ascii="Cambria" w:eastAsia="Cambria" w:hAnsi="Cambria" w:cs="Cambria"/>
          <w:bCs/>
          <w:color w:val="000000" w:themeColor="text1"/>
        </w:rPr>
        <w:br/>
      </w:r>
      <w:hyperlink r:id="rId19" w:history="1">
        <w:r w:rsidR="0010647E" w:rsidRPr="00173011">
          <w:rPr>
            <w:rStyle w:val="Hyperlink"/>
            <w:rFonts w:ascii="Cambria" w:eastAsia="Cambria" w:hAnsi="Cambria" w:cs="Cambria"/>
            <w:bCs/>
          </w:rPr>
          <w:t>https://www.investopedia.com/terms/v/volatility-skew.asp</w:t>
        </w:r>
      </w:hyperlink>
    </w:p>
    <w:p w14:paraId="451AC217" w14:textId="08B861FA" w:rsidR="00951CCF" w:rsidRDefault="00951CCF" w:rsidP="00951CCF">
      <w:pPr>
        <w:widowControl w:val="0"/>
        <w:tabs>
          <w:tab w:val="right" w:pos="9630"/>
        </w:tabs>
        <w:spacing w:after="120"/>
        <w:rPr>
          <w:rFonts w:ascii="Cambria" w:eastAsia="Cambria" w:hAnsi="Cambria" w:cs="Cambria"/>
          <w:bCs/>
          <w:color w:val="000000" w:themeColor="text1"/>
        </w:rPr>
      </w:pPr>
      <w:r>
        <w:rPr>
          <w:rFonts w:ascii="Cambria" w:eastAsia="Cambria" w:hAnsi="Cambria" w:cs="Cambria"/>
          <w:bCs/>
          <w:color w:val="000000" w:themeColor="text1"/>
        </w:rPr>
        <w:t>Mitchell, Cory</w:t>
      </w:r>
      <w:r w:rsidR="00475EE4">
        <w:rPr>
          <w:rFonts w:ascii="Cambria" w:eastAsia="Cambria" w:hAnsi="Cambria" w:cs="Cambria"/>
          <w:bCs/>
          <w:color w:val="000000" w:themeColor="text1"/>
        </w:rPr>
        <w:t>. (2019)</w:t>
      </w:r>
      <w:r>
        <w:rPr>
          <w:rFonts w:ascii="Cambria" w:eastAsia="Cambria" w:hAnsi="Cambria" w:cs="Cambria"/>
          <w:bCs/>
          <w:color w:val="000000" w:themeColor="text1"/>
        </w:rPr>
        <w:t xml:space="preserve">. </w:t>
      </w:r>
      <w:r>
        <w:rPr>
          <w:rFonts w:ascii="Cambria" w:eastAsia="Cambria" w:hAnsi="Cambria" w:cs="Cambria"/>
          <w:bCs/>
          <w:i/>
          <w:iCs/>
          <w:color w:val="000000" w:themeColor="text1"/>
        </w:rPr>
        <w:t>Volatility Smile Definition and Uses</w:t>
      </w:r>
      <w:r>
        <w:rPr>
          <w:rFonts w:ascii="Cambria" w:eastAsia="Cambria" w:hAnsi="Cambria" w:cs="Cambria"/>
          <w:bCs/>
          <w:color w:val="000000" w:themeColor="text1"/>
        </w:rPr>
        <w:t>.</w:t>
      </w:r>
      <w:r w:rsidR="00475EE4">
        <w:rPr>
          <w:rFonts w:ascii="Cambria" w:eastAsia="Cambria" w:hAnsi="Cambria" w:cs="Cambria"/>
          <w:bCs/>
          <w:color w:val="000000" w:themeColor="text1"/>
        </w:rPr>
        <w:t xml:space="preserve"> </w:t>
      </w:r>
      <w:hyperlink r:id="rId20" w:history="1">
        <w:r w:rsidR="00475EE4" w:rsidRPr="00173011">
          <w:rPr>
            <w:rStyle w:val="Hyperlink"/>
            <w:rFonts w:ascii="Cambria" w:eastAsia="Cambria" w:hAnsi="Cambria" w:cs="Cambria"/>
            <w:bCs/>
          </w:rPr>
          <w:t>https://www.investopedia.com/terms/v/volatilitysmile.asp</w:t>
        </w:r>
      </w:hyperlink>
    </w:p>
    <w:p w14:paraId="487486A5" w14:textId="570E4E98" w:rsidR="00475EE4" w:rsidRDefault="00475EE4" w:rsidP="00951CCF">
      <w:pPr>
        <w:widowControl w:val="0"/>
        <w:tabs>
          <w:tab w:val="right" w:pos="9630"/>
        </w:tabs>
        <w:spacing w:after="120"/>
        <w:rPr>
          <w:rFonts w:ascii="Cambria" w:eastAsia="Cambria" w:hAnsi="Cambria" w:cs="Cambria"/>
          <w:bCs/>
          <w:color w:val="000000" w:themeColor="text1"/>
        </w:rPr>
      </w:pPr>
      <w:r>
        <w:rPr>
          <w:rFonts w:ascii="Cambria" w:eastAsia="Cambria" w:hAnsi="Cambria" w:cs="Cambria"/>
          <w:bCs/>
          <w:color w:val="000000" w:themeColor="text1"/>
        </w:rPr>
        <w:t xml:space="preserve">Ross, Sean. (2019). </w:t>
      </w:r>
      <w:r>
        <w:rPr>
          <w:rFonts w:ascii="Cambria" w:eastAsia="Cambria" w:hAnsi="Cambria" w:cs="Cambria"/>
          <w:bCs/>
          <w:i/>
          <w:iCs/>
          <w:color w:val="000000" w:themeColor="text1"/>
        </w:rPr>
        <w:t>What is a volatility smile?</w:t>
      </w:r>
      <w:r>
        <w:rPr>
          <w:rFonts w:ascii="Cambria" w:eastAsia="Cambria" w:hAnsi="Cambria" w:cs="Cambria"/>
          <w:bCs/>
          <w:color w:val="000000" w:themeColor="text1"/>
        </w:rPr>
        <w:t xml:space="preserve"> </w:t>
      </w:r>
      <w:hyperlink r:id="rId21" w:history="1">
        <w:r w:rsidRPr="00173011">
          <w:rPr>
            <w:rStyle w:val="Hyperlink"/>
            <w:rFonts w:ascii="Cambria" w:eastAsia="Cambria" w:hAnsi="Cambria" w:cs="Cambria"/>
            <w:bCs/>
          </w:rPr>
          <w:t>https://www.investopedia.com/ask/answers/012015/what-volatility-smile.asp</w:t>
        </w:r>
      </w:hyperlink>
    </w:p>
    <w:p w14:paraId="6E7AB354" w14:textId="77777777" w:rsidR="00475EE4" w:rsidRPr="00475EE4" w:rsidRDefault="00475EE4" w:rsidP="00951CCF">
      <w:pPr>
        <w:widowControl w:val="0"/>
        <w:tabs>
          <w:tab w:val="right" w:pos="9630"/>
        </w:tabs>
        <w:spacing w:after="120"/>
        <w:rPr>
          <w:rFonts w:ascii="Cambria" w:eastAsia="Cambria" w:hAnsi="Cambria" w:cs="Cambria"/>
          <w:bCs/>
          <w:color w:val="000000" w:themeColor="text1"/>
        </w:rPr>
      </w:pPr>
    </w:p>
    <w:sectPr w:rsidR="00475EE4" w:rsidRPr="00475EE4">
      <w:footerReference w:type="default" r:id="rId22"/>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4DB3A" w14:textId="77777777" w:rsidR="00D10AA4" w:rsidRDefault="00D10AA4" w:rsidP="00E57116">
      <w:pPr>
        <w:spacing w:after="0" w:line="240" w:lineRule="auto"/>
      </w:pPr>
      <w:r>
        <w:separator/>
      </w:r>
    </w:p>
  </w:endnote>
  <w:endnote w:type="continuationSeparator" w:id="0">
    <w:p w14:paraId="14545A0F" w14:textId="77777777" w:rsidR="00D10AA4" w:rsidRDefault="00D10AA4" w:rsidP="00E57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8481487"/>
      <w:docPartObj>
        <w:docPartGallery w:val="Page Numbers (Bottom of Page)"/>
        <w:docPartUnique/>
      </w:docPartObj>
    </w:sdtPr>
    <w:sdtContent>
      <w:p w14:paraId="5F9B3BEF" w14:textId="69D02EC4" w:rsidR="00E57116" w:rsidRDefault="00E571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4249867" w14:textId="77777777" w:rsidR="00E57116" w:rsidRDefault="00E571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4C539" w14:textId="77777777" w:rsidR="00D10AA4" w:rsidRDefault="00D10AA4" w:rsidP="00E57116">
      <w:pPr>
        <w:spacing w:after="0" w:line="240" w:lineRule="auto"/>
      </w:pPr>
      <w:r>
        <w:separator/>
      </w:r>
    </w:p>
  </w:footnote>
  <w:footnote w:type="continuationSeparator" w:id="0">
    <w:p w14:paraId="64DB96A3" w14:textId="77777777" w:rsidR="00D10AA4" w:rsidRDefault="00D10AA4" w:rsidP="00E571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95A"/>
    <w:rsid w:val="00006589"/>
    <w:rsid w:val="00051E73"/>
    <w:rsid w:val="00056606"/>
    <w:rsid w:val="00062A65"/>
    <w:rsid w:val="0010647E"/>
    <w:rsid w:val="00106C2C"/>
    <w:rsid w:val="001A3257"/>
    <w:rsid w:val="001B2795"/>
    <w:rsid w:val="001B720E"/>
    <w:rsid w:val="001E05FA"/>
    <w:rsid w:val="00232203"/>
    <w:rsid w:val="00246EBF"/>
    <w:rsid w:val="002D227A"/>
    <w:rsid w:val="002E26D6"/>
    <w:rsid w:val="002F7E2C"/>
    <w:rsid w:val="0033272B"/>
    <w:rsid w:val="003359EF"/>
    <w:rsid w:val="00345BBA"/>
    <w:rsid w:val="00346B7E"/>
    <w:rsid w:val="00351FB7"/>
    <w:rsid w:val="003554A9"/>
    <w:rsid w:val="003849C2"/>
    <w:rsid w:val="003A3AD5"/>
    <w:rsid w:val="003B0D89"/>
    <w:rsid w:val="0045395B"/>
    <w:rsid w:val="00475EE4"/>
    <w:rsid w:val="0049037E"/>
    <w:rsid w:val="00494B76"/>
    <w:rsid w:val="004A4EC3"/>
    <w:rsid w:val="004C17E0"/>
    <w:rsid w:val="004C6E20"/>
    <w:rsid w:val="004D19D2"/>
    <w:rsid w:val="004F05AA"/>
    <w:rsid w:val="0050395A"/>
    <w:rsid w:val="0050733F"/>
    <w:rsid w:val="0052469D"/>
    <w:rsid w:val="00553C90"/>
    <w:rsid w:val="00591FB2"/>
    <w:rsid w:val="00594CE3"/>
    <w:rsid w:val="005B7CD7"/>
    <w:rsid w:val="00610DEF"/>
    <w:rsid w:val="00655BFA"/>
    <w:rsid w:val="006D5EE5"/>
    <w:rsid w:val="00704190"/>
    <w:rsid w:val="00710499"/>
    <w:rsid w:val="007140BB"/>
    <w:rsid w:val="00756CF2"/>
    <w:rsid w:val="00784AEE"/>
    <w:rsid w:val="007E66BF"/>
    <w:rsid w:val="00840BD6"/>
    <w:rsid w:val="008445AB"/>
    <w:rsid w:val="008C2B71"/>
    <w:rsid w:val="008D0FA5"/>
    <w:rsid w:val="008D41E2"/>
    <w:rsid w:val="008E1AB4"/>
    <w:rsid w:val="0091162E"/>
    <w:rsid w:val="009200DF"/>
    <w:rsid w:val="009263B4"/>
    <w:rsid w:val="009513BF"/>
    <w:rsid w:val="00951CCF"/>
    <w:rsid w:val="00960ADF"/>
    <w:rsid w:val="009B245F"/>
    <w:rsid w:val="009B7664"/>
    <w:rsid w:val="009E3AC0"/>
    <w:rsid w:val="00A42CE1"/>
    <w:rsid w:val="00A53266"/>
    <w:rsid w:val="00A8254B"/>
    <w:rsid w:val="00AC45C6"/>
    <w:rsid w:val="00B129B2"/>
    <w:rsid w:val="00B246CE"/>
    <w:rsid w:val="00B32B6C"/>
    <w:rsid w:val="00B36FEE"/>
    <w:rsid w:val="00B47E3C"/>
    <w:rsid w:val="00B56E45"/>
    <w:rsid w:val="00B76204"/>
    <w:rsid w:val="00B848D9"/>
    <w:rsid w:val="00BA254D"/>
    <w:rsid w:val="00BB2B11"/>
    <w:rsid w:val="00BE5101"/>
    <w:rsid w:val="00C11777"/>
    <w:rsid w:val="00C64031"/>
    <w:rsid w:val="00CC73F3"/>
    <w:rsid w:val="00D10AA4"/>
    <w:rsid w:val="00D30EBD"/>
    <w:rsid w:val="00D65C25"/>
    <w:rsid w:val="00D747E0"/>
    <w:rsid w:val="00D7528A"/>
    <w:rsid w:val="00DC59C1"/>
    <w:rsid w:val="00DE5680"/>
    <w:rsid w:val="00E06AC6"/>
    <w:rsid w:val="00E57116"/>
    <w:rsid w:val="00E617AF"/>
    <w:rsid w:val="00F07E38"/>
    <w:rsid w:val="00F22FDC"/>
    <w:rsid w:val="00F60C07"/>
    <w:rsid w:val="00F762A1"/>
    <w:rsid w:val="00FF41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C4ECF"/>
  <w15:docId w15:val="{26024DE9-1AD8-453F-B171-BAAF5B7A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B3B10"/>
    <w:pPr>
      <w:tabs>
        <w:tab w:val="center" w:pos="4986"/>
        <w:tab w:val="right" w:pos="9972"/>
      </w:tabs>
      <w:spacing w:after="0" w:line="240" w:lineRule="auto"/>
    </w:pPr>
  </w:style>
  <w:style w:type="character" w:customStyle="1" w:styleId="HeaderChar">
    <w:name w:val="Header Char"/>
    <w:basedOn w:val="DefaultParagraphFont"/>
    <w:link w:val="Header"/>
    <w:uiPriority w:val="99"/>
    <w:rsid w:val="00CB3B10"/>
  </w:style>
  <w:style w:type="paragraph" w:styleId="Footer">
    <w:name w:val="footer"/>
    <w:basedOn w:val="Normal"/>
    <w:link w:val="FooterChar"/>
    <w:uiPriority w:val="99"/>
    <w:unhideWhenUsed/>
    <w:rsid w:val="00CB3B10"/>
    <w:pPr>
      <w:tabs>
        <w:tab w:val="center" w:pos="4986"/>
        <w:tab w:val="right" w:pos="9972"/>
      </w:tabs>
      <w:spacing w:after="0" w:line="240" w:lineRule="auto"/>
    </w:pPr>
  </w:style>
  <w:style w:type="character" w:customStyle="1" w:styleId="FooterChar">
    <w:name w:val="Footer Char"/>
    <w:basedOn w:val="DefaultParagraphFont"/>
    <w:link w:val="Footer"/>
    <w:uiPriority w:val="99"/>
    <w:rsid w:val="00CB3B10"/>
  </w:style>
  <w:style w:type="character" w:styleId="PlaceholderText">
    <w:name w:val="Placeholder Text"/>
    <w:basedOn w:val="DefaultParagraphFont"/>
    <w:uiPriority w:val="99"/>
    <w:semiHidden/>
    <w:rsid w:val="005D3051"/>
    <w:rPr>
      <w:color w:val="808080"/>
    </w:rPr>
  </w:style>
  <w:style w:type="paragraph" w:styleId="Caption">
    <w:name w:val="caption"/>
    <w:basedOn w:val="Normal"/>
    <w:next w:val="Normal"/>
    <w:uiPriority w:val="35"/>
    <w:unhideWhenUsed/>
    <w:qFormat/>
    <w:rsid w:val="008F7A7E"/>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75EE4"/>
    <w:rPr>
      <w:color w:val="0563C1" w:themeColor="hyperlink"/>
      <w:u w:val="single"/>
    </w:rPr>
  </w:style>
  <w:style w:type="character" w:styleId="UnresolvedMention">
    <w:name w:val="Unresolved Mention"/>
    <w:basedOn w:val="DefaultParagraphFont"/>
    <w:uiPriority w:val="99"/>
    <w:semiHidden/>
    <w:unhideWhenUsed/>
    <w:rsid w:val="00475E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investopedia.com/ask/answers/012015/what-volatility-smile.as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investopedia.com/terms/v/volatilitysmile.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investopedia.com/terms/v/volatility-skew.as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sz="1000">
                <a:solidFill>
                  <a:schemeClr val="tx1"/>
                </a:solidFill>
              </a:defRPr>
            </a:pPr>
            <a:r>
              <a:rPr lang="en-US" sz="1000">
                <a:solidFill>
                  <a:schemeClr val="tx1"/>
                </a:solidFill>
              </a:rPr>
              <a:t>Volatility Surface for S&amp;P 500 Options</a:t>
            </a:r>
          </a:p>
        </c:rich>
      </c:tx>
      <c:layout>
        <c:manualLayout>
          <c:xMode val="edge"/>
          <c:yMode val="edge"/>
          <c:x val="0.20428769017980633"/>
          <c:y val="0"/>
        </c:manualLayout>
      </c:layout>
      <c:overlay val="0"/>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8755186721991697E-2"/>
          <c:y val="0.1101363396128385"/>
          <c:w val="0.8322497032269307"/>
          <c:h val="0.75085256270049583"/>
        </c:manualLayout>
      </c:layout>
      <c:surface3DChart>
        <c:wireframe val="0"/>
        <c:ser>
          <c:idx val="0"/>
          <c:order val="0"/>
          <c:tx>
            <c:strRef>
              <c:f>'S&amp;P Moneyness'!$A$2</c:f>
              <c:strCache>
                <c:ptCount val="1"/>
                <c:pt idx="0">
                  <c:v>1W</c:v>
                </c:pt>
              </c:strCache>
            </c:strRef>
          </c:tx>
          <c:spPr>
            <a:solidFill>
              <a:schemeClr val="accent1"/>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Moneyness'!$B$2:$L$2</c:f>
              <c:numCache>
                <c:formatCode>0.00</c:formatCode>
                <c:ptCount val="11"/>
                <c:pt idx="0">
                  <c:v>71.11</c:v>
                </c:pt>
                <c:pt idx="1">
                  <c:v>55.14</c:v>
                </c:pt>
                <c:pt idx="2">
                  <c:v>41.5</c:v>
                </c:pt>
                <c:pt idx="3">
                  <c:v>26.73</c:v>
                </c:pt>
                <c:pt idx="4">
                  <c:v>21.7</c:v>
                </c:pt>
                <c:pt idx="5">
                  <c:v>17.170000000000002</c:v>
                </c:pt>
                <c:pt idx="6">
                  <c:v>16.170000000000002</c:v>
                </c:pt>
                <c:pt idx="7">
                  <c:v>20.58</c:v>
                </c:pt>
                <c:pt idx="8">
                  <c:v>30</c:v>
                </c:pt>
                <c:pt idx="9">
                  <c:v>41.91</c:v>
                </c:pt>
                <c:pt idx="10">
                  <c:v>52.52</c:v>
                </c:pt>
              </c:numCache>
            </c:numRef>
          </c:val>
          <c:extLst>
            <c:ext xmlns:c16="http://schemas.microsoft.com/office/drawing/2014/chart" uri="{C3380CC4-5D6E-409C-BE32-E72D297353CC}">
              <c16:uniqueId val="{00000000-26CC-4790-BD42-B64A8FEED12D}"/>
            </c:ext>
          </c:extLst>
        </c:ser>
        <c:ser>
          <c:idx val="1"/>
          <c:order val="1"/>
          <c:tx>
            <c:strRef>
              <c:f>'S&amp;P Moneyness'!$A$3</c:f>
              <c:strCache>
                <c:ptCount val="1"/>
                <c:pt idx="0">
                  <c:v>2W</c:v>
                </c:pt>
              </c:strCache>
            </c:strRef>
          </c:tx>
          <c:spPr>
            <a:solidFill>
              <a:schemeClr val="accent2"/>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Moneyness'!$B$3:$L$3</c:f>
              <c:numCache>
                <c:formatCode>0.00</c:formatCode>
                <c:ptCount val="11"/>
                <c:pt idx="0">
                  <c:v>44.65</c:v>
                </c:pt>
                <c:pt idx="1">
                  <c:v>37.11</c:v>
                </c:pt>
                <c:pt idx="2">
                  <c:v>29.5</c:v>
                </c:pt>
                <c:pt idx="3">
                  <c:v>22.73</c:v>
                </c:pt>
                <c:pt idx="4">
                  <c:v>19.670000000000002</c:v>
                </c:pt>
                <c:pt idx="5">
                  <c:v>16.3</c:v>
                </c:pt>
                <c:pt idx="6">
                  <c:v>14.71</c:v>
                </c:pt>
                <c:pt idx="7">
                  <c:v>15.06</c:v>
                </c:pt>
                <c:pt idx="8">
                  <c:v>18.79</c:v>
                </c:pt>
                <c:pt idx="9">
                  <c:v>25.21</c:v>
                </c:pt>
                <c:pt idx="10">
                  <c:v>30.27</c:v>
                </c:pt>
              </c:numCache>
            </c:numRef>
          </c:val>
          <c:extLst>
            <c:ext xmlns:c16="http://schemas.microsoft.com/office/drawing/2014/chart" uri="{C3380CC4-5D6E-409C-BE32-E72D297353CC}">
              <c16:uniqueId val="{00000001-26CC-4790-BD42-B64A8FEED12D}"/>
            </c:ext>
          </c:extLst>
        </c:ser>
        <c:ser>
          <c:idx val="2"/>
          <c:order val="2"/>
          <c:tx>
            <c:strRef>
              <c:f>'S&amp;P Moneyness'!$A$4</c:f>
              <c:strCache>
                <c:ptCount val="1"/>
                <c:pt idx="0">
                  <c:v>3W</c:v>
                </c:pt>
              </c:strCache>
            </c:strRef>
          </c:tx>
          <c:spPr>
            <a:solidFill>
              <a:schemeClr val="accent3"/>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Moneyness'!$B$4:$L$4</c:f>
              <c:numCache>
                <c:formatCode>0.00</c:formatCode>
                <c:ptCount val="11"/>
                <c:pt idx="0">
                  <c:v>42.35</c:v>
                </c:pt>
                <c:pt idx="1">
                  <c:v>35.76</c:v>
                </c:pt>
                <c:pt idx="2">
                  <c:v>29.39</c:v>
                </c:pt>
                <c:pt idx="3">
                  <c:v>23.31</c:v>
                </c:pt>
                <c:pt idx="4">
                  <c:v>20.28</c:v>
                </c:pt>
                <c:pt idx="5">
                  <c:v>17.28</c:v>
                </c:pt>
                <c:pt idx="6">
                  <c:v>15.58</c:v>
                </c:pt>
                <c:pt idx="7">
                  <c:v>15.47</c:v>
                </c:pt>
                <c:pt idx="8">
                  <c:v>17.77</c:v>
                </c:pt>
                <c:pt idx="9">
                  <c:v>22.19</c:v>
                </c:pt>
                <c:pt idx="10">
                  <c:v>26.96</c:v>
                </c:pt>
              </c:numCache>
            </c:numRef>
          </c:val>
          <c:extLst>
            <c:ext xmlns:c16="http://schemas.microsoft.com/office/drawing/2014/chart" uri="{C3380CC4-5D6E-409C-BE32-E72D297353CC}">
              <c16:uniqueId val="{00000002-26CC-4790-BD42-B64A8FEED12D}"/>
            </c:ext>
          </c:extLst>
        </c:ser>
        <c:ser>
          <c:idx val="3"/>
          <c:order val="3"/>
          <c:tx>
            <c:strRef>
              <c:f>'S&amp;P Moneyness'!$A$5</c:f>
              <c:strCache>
                <c:ptCount val="1"/>
                <c:pt idx="0">
                  <c:v>1M</c:v>
                </c:pt>
              </c:strCache>
            </c:strRef>
          </c:tx>
          <c:spPr>
            <a:solidFill>
              <a:schemeClr val="accent4"/>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Moneyness'!$B$5:$L$5</c:f>
              <c:numCache>
                <c:formatCode>0.00</c:formatCode>
                <c:ptCount val="11"/>
                <c:pt idx="0">
                  <c:v>39.28</c:v>
                </c:pt>
                <c:pt idx="1">
                  <c:v>34.119999999999997</c:v>
                </c:pt>
                <c:pt idx="2">
                  <c:v>29.25</c:v>
                </c:pt>
                <c:pt idx="3">
                  <c:v>24</c:v>
                </c:pt>
                <c:pt idx="4">
                  <c:v>21.05</c:v>
                </c:pt>
                <c:pt idx="5">
                  <c:v>18.420000000000002</c:v>
                </c:pt>
                <c:pt idx="6">
                  <c:v>16.72</c:v>
                </c:pt>
                <c:pt idx="7">
                  <c:v>16</c:v>
                </c:pt>
                <c:pt idx="8">
                  <c:v>16.5</c:v>
                </c:pt>
                <c:pt idx="9">
                  <c:v>18.29</c:v>
                </c:pt>
                <c:pt idx="10">
                  <c:v>22.77</c:v>
                </c:pt>
              </c:numCache>
            </c:numRef>
          </c:val>
          <c:extLst>
            <c:ext xmlns:c16="http://schemas.microsoft.com/office/drawing/2014/chart" uri="{C3380CC4-5D6E-409C-BE32-E72D297353CC}">
              <c16:uniqueId val="{00000003-26CC-4790-BD42-B64A8FEED12D}"/>
            </c:ext>
          </c:extLst>
        </c:ser>
        <c:ser>
          <c:idx val="4"/>
          <c:order val="4"/>
          <c:tx>
            <c:strRef>
              <c:f>'S&amp;P Moneyness'!$A$6</c:f>
              <c:strCache>
                <c:ptCount val="1"/>
                <c:pt idx="0">
                  <c:v>2M</c:v>
                </c:pt>
              </c:strCache>
            </c:strRef>
          </c:tx>
          <c:spPr>
            <a:solidFill>
              <a:schemeClr val="accent5"/>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Moneyness'!$B$6:$L$6</c:f>
              <c:numCache>
                <c:formatCode>0.00</c:formatCode>
                <c:ptCount val="11"/>
                <c:pt idx="0">
                  <c:v>35.130000000000003</c:v>
                </c:pt>
                <c:pt idx="1">
                  <c:v>31.54</c:v>
                </c:pt>
                <c:pt idx="2">
                  <c:v>27.84</c:v>
                </c:pt>
                <c:pt idx="3">
                  <c:v>23.6</c:v>
                </c:pt>
                <c:pt idx="4">
                  <c:v>21.43</c:v>
                </c:pt>
                <c:pt idx="5">
                  <c:v>19.440000000000001</c:v>
                </c:pt>
                <c:pt idx="6">
                  <c:v>17.850000000000001</c:v>
                </c:pt>
                <c:pt idx="7">
                  <c:v>16.8</c:v>
                </c:pt>
                <c:pt idx="8">
                  <c:v>16.39</c:v>
                </c:pt>
                <c:pt idx="9">
                  <c:v>17.18</c:v>
                </c:pt>
                <c:pt idx="10">
                  <c:v>18.39</c:v>
                </c:pt>
              </c:numCache>
            </c:numRef>
          </c:val>
          <c:extLst>
            <c:ext xmlns:c16="http://schemas.microsoft.com/office/drawing/2014/chart" uri="{C3380CC4-5D6E-409C-BE32-E72D297353CC}">
              <c16:uniqueId val="{00000004-26CC-4790-BD42-B64A8FEED12D}"/>
            </c:ext>
          </c:extLst>
        </c:ser>
        <c:ser>
          <c:idx val="5"/>
          <c:order val="5"/>
          <c:tx>
            <c:strRef>
              <c:f>'S&amp;P Moneyness'!$A$7</c:f>
              <c:strCache>
                <c:ptCount val="1"/>
                <c:pt idx="0">
                  <c:v>3M</c:v>
                </c:pt>
              </c:strCache>
            </c:strRef>
          </c:tx>
          <c:spPr>
            <a:solidFill>
              <a:schemeClr val="accent6"/>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Moneyness'!$B$7:$L$7</c:f>
              <c:numCache>
                <c:formatCode>0.00</c:formatCode>
                <c:ptCount val="11"/>
                <c:pt idx="0">
                  <c:v>33.39</c:v>
                </c:pt>
                <c:pt idx="1">
                  <c:v>30.24</c:v>
                </c:pt>
                <c:pt idx="2">
                  <c:v>26.97</c:v>
                </c:pt>
                <c:pt idx="3">
                  <c:v>23.39</c:v>
                </c:pt>
                <c:pt idx="4">
                  <c:v>21.55</c:v>
                </c:pt>
                <c:pt idx="5">
                  <c:v>19.87</c:v>
                </c:pt>
                <c:pt idx="6">
                  <c:v>18.43</c:v>
                </c:pt>
                <c:pt idx="7">
                  <c:v>17.3</c:v>
                </c:pt>
                <c:pt idx="8">
                  <c:v>16.45</c:v>
                </c:pt>
                <c:pt idx="9">
                  <c:v>16.77</c:v>
                </c:pt>
                <c:pt idx="10">
                  <c:v>17.57</c:v>
                </c:pt>
              </c:numCache>
            </c:numRef>
          </c:val>
          <c:extLst>
            <c:ext xmlns:c16="http://schemas.microsoft.com/office/drawing/2014/chart" uri="{C3380CC4-5D6E-409C-BE32-E72D297353CC}">
              <c16:uniqueId val="{00000005-26CC-4790-BD42-B64A8FEED12D}"/>
            </c:ext>
          </c:extLst>
        </c:ser>
        <c:ser>
          <c:idx val="6"/>
          <c:order val="6"/>
          <c:tx>
            <c:strRef>
              <c:f>'S&amp;P Moneyness'!$A$8</c:f>
              <c:strCache>
                <c:ptCount val="1"/>
                <c:pt idx="0">
                  <c:v>6M</c:v>
                </c:pt>
              </c:strCache>
            </c:strRef>
          </c:tx>
          <c:spPr>
            <a:solidFill>
              <a:schemeClr val="accent1">
                <a:lumMod val="60000"/>
              </a:schemeClr>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Moneyness'!$B$8:$L$8</c:f>
              <c:numCache>
                <c:formatCode>0.00</c:formatCode>
                <c:ptCount val="11"/>
                <c:pt idx="0">
                  <c:v>31.02</c:v>
                </c:pt>
                <c:pt idx="1">
                  <c:v>28.57</c:v>
                </c:pt>
                <c:pt idx="2">
                  <c:v>26.03</c:v>
                </c:pt>
                <c:pt idx="3">
                  <c:v>23.24</c:v>
                </c:pt>
                <c:pt idx="4">
                  <c:v>21.84</c:v>
                </c:pt>
                <c:pt idx="5">
                  <c:v>20.48</c:v>
                </c:pt>
                <c:pt idx="6">
                  <c:v>19.21</c:v>
                </c:pt>
                <c:pt idx="7">
                  <c:v>18.13</c:v>
                </c:pt>
                <c:pt idx="8">
                  <c:v>16.7</c:v>
                </c:pt>
                <c:pt idx="9">
                  <c:v>16.440000000000001</c:v>
                </c:pt>
                <c:pt idx="10">
                  <c:v>16.71</c:v>
                </c:pt>
              </c:numCache>
            </c:numRef>
          </c:val>
          <c:extLst>
            <c:ext xmlns:c16="http://schemas.microsoft.com/office/drawing/2014/chart" uri="{C3380CC4-5D6E-409C-BE32-E72D297353CC}">
              <c16:uniqueId val="{00000006-26CC-4790-BD42-B64A8FEED12D}"/>
            </c:ext>
          </c:extLst>
        </c:ser>
        <c:ser>
          <c:idx val="7"/>
          <c:order val="7"/>
          <c:tx>
            <c:strRef>
              <c:f>'S&amp;P Moneyness'!$A$9</c:f>
              <c:strCache>
                <c:ptCount val="1"/>
                <c:pt idx="0">
                  <c:v>9M</c:v>
                </c:pt>
              </c:strCache>
            </c:strRef>
          </c:tx>
          <c:spPr>
            <a:solidFill>
              <a:schemeClr val="accent2">
                <a:lumMod val="60000"/>
              </a:schemeClr>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Moneyness'!$B$9:$L$9</c:f>
              <c:numCache>
                <c:formatCode>0.00</c:formatCode>
                <c:ptCount val="11"/>
                <c:pt idx="0">
                  <c:v>29.46</c:v>
                </c:pt>
                <c:pt idx="1">
                  <c:v>27.41</c:v>
                </c:pt>
                <c:pt idx="2">
                  <c:v>25.23</c:v>
                </c:pt>
                <c:pt idx="3">
                  <c:v>22.94</c:v>
                </c:pt>
                <c:pt idx="4">
                  <c:v>21.73</c:v>
                </c:pt>
                <c:pt idx="5">
                  <c:v>20.51</c:v>
                </c:pt>
                <c:pt idx="6">
                  <c:v>19.399999999999999</c:v>
                </c:pt>
                <c:pt idx="7">
                  <c:v>18.37</c:v>
                </c:pt>
                <c:pt idx="8">
                  <c:v>16.88</c:v>
                </c:pt>
                <c:pt idx="9">
                  <c:v>16.29</c:v>
                </c:pt>
                <c:pt idx="10">
                  <c:v>16.34</c:v>
                </c:pt>
              </c:numCache>
            </c:numRef>
          </c:val>
          <c:extLst>
            <c:ext xmlns:c16="http://schemas.microsoft.com/office/drawing/2014/chart" uri="{C3380CC4-5D6E-409C-BE32-E72D297353CC}">
              <c16:uniqueId val="{00000007-26CC-4790-BD42-B64A8FEED12D}"/>
            </c:ext>
          </c:extLst>
        </c:ser>
        <c:ser>
          <c:idx val="8"/>
          <c:order val="8"/>
          <c:tx>
            <c:strRef>
              <c:f>'S&amp;P Moneyness'!$A$10</c:f>
              <c:strCache>
                <c:ptCount val="1"/>
                <c:pt idx="0">
                  <c:v>1Y</c:v>
                </c:pt>
              </c:strCache>
            </c:strRef>
          </c:tx>
          <c:spPr>
            <a:solidFill>
              <a:schemeClr val="accent3">
                <a:lumMod val="60000"/>
              </a:schemeClr>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Moneyness'!$B$10:$L$10</c:f>
              <c:numCache>
                <c:formatCode>0.00</c:formatCode>
                <c:ptCount val="11"/>
                <c:pt idx="0">
                  <c:v>28.41</c:v>
                </c:pt>
                <c:pt idx="1">
                  <c:v>26.57</c:v>
                </c:pt>
                <c:pt idx="2">
                  <c:v>24.68</c:v>
                </c:pt>
                <c:pt idx="3">
                  <c:v>22.66</c:v>
                </c:pt>
                <c:pt idx="4">
                  <c:v>21.61</c:v>
                </c:pt>
                <c:pt idx="5">
                  <c:v>20.56</c:v>
                </c:pt>
                <c:pt idx="6">
                  <c:v>19.54</c:v>
                </c:pt>
                <c:pt idx="7">
                  <c:v>18.63</c:v>
                </c:pt>
                <c:pt idx="8">
                  <c:v>17.239999999999998</c:v>
                </c:pt>
                <c:pt idx="9">
                  <c:v>16.420000000000002</c:v>
                </c:pt>
                <c:pt idx="10">
                  <c:v>16.3</c:v>
                </c:pt>
              </c:numCache>
            </c:numRef>
          </c:val>
          <c:extLst>
            <c:ext xmlns:c16="http://schemas.microsoft.com/office/drawing/2014/chart" uri="{C3380CC4-5D6E-409C-BE32-E72D297353CC}">
              <c16:uniqueId val="{00000008-26CC-4790-BD42-B64A8FEED12D}"/>
            </c:ext>
          </c:extLst>
        </c:ser>
        <c:ser>
          <c:idx val="9"/>
          <c:order val="9"/>
          <c:tx>
            <c:strRef>
              <c:f>'S&amp;P Moneyness'!$A$11</c:f>
              <c:strCache>
                <c:ptCount val="1"/>
                <c:pt idx="0">
                  <c:v>18M</c:v>
                </c:pt>
              </c:strCache>
            </c:strRef>
          </c:tx>
          <c:spPr>
            <a:solidFill>
              <a:schemeClr val="accent4">
                <a:lumMod val="60000"/>
              </a:schemeClr>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Moneyness'!$B$11:$L$11</c:f>
              <c:numCache>
                <c:formatCode>0.00</c:formatCode>
                <c:ptCount val="11"/>
                <c:pt idx="0">
                  <c:v>27.26</c:v>
                </c:pt>
                <c:pt idx="1">
                  <c:v>25.7</c:v>
                </c:pt>
                <c:pt idx="2">
                  <c:v>24.08</c:v>
                </c:pt>
                <c:pt idx="3">
                  <c:v>22.48</c:v>
                </c:pt>
                <c:pt idx="4">
                  <c:v>21.66</c:v>
                </c:pt>
                <c:pt idx="5">
                  <c:v>20.86</c:v>
                </c:pt>
                <c:pt idx="6">
                  <c:v>20.079999999999998</c:v>
                </c:pt>
                <c:pt idx="7">
                  <c:v>19.36</c:v>
                </c:pt>
                <c:pt idx="8">
                  <c:v>18.149999999999999</c:v>
                </c:pt>
                <c:pt idx="9">
                  <c:v>17.27</c:v>
                </c:pt>
                <c:pt idx="10">
                  <c:v>16.940000000000001</c:v>
                </c:pt>
              </c:numCache>
            </c:numRef>
          </c:val>
          <c:extLst>
            <c:ext xmlns:c16="http://schemas.microsoft.com/office/drawing/2014/chart" uri="{C3380CC4-5D6E-409C-BE32-E72D297353CC}">
              <c16:uniqueId val="{00000009-26CC-4790-BD42-B64A8FEED12D}"/>
            </c:ext>
          </c:extLst>
        </c:ser>
        <c:ser>
          <c:idx val="10"/>
          <c:order val="10"/>
          <c:tx>
            <c:strRef>
              <c:f>'S&amp;P Moneyness'!$A$12</c:f>
              <c:strCache>
                <c:ptCount val="1"/>
                <c:pt idx="0">
                  <c:v>2Y</c:v>
                </c:pt>
              </c:strCache>
            </c:strRef>
          </c:tx>
          <c:spPr>
            <a:solidFill>
              <a:schemeClr val="accent5">
                <a:lumMod val="60000"/>
              </a:schemeClr>
            </a:solidFill>
            <a:ln/>
            <a:effectLst/>
            <a:sp3d/>
          </c:spPr>
          <c:cat>
            <c:numRef>
              <c:f>'S&amp;P Moneyness'!$B$1:$L$1</c:f>
              <c:numCache>
                <c:formatCode>General</c:formatCode>
                <c:ptCount val="11"/>
                <c:pt idx="0" formatCode="0">
                  <c:v>80</c:v>
                </c:pt>
                <c:pt idx="1">
                  <c:v>85</c:v>
                </c:pt>
                <c:pt idx="2">
                  <c:v>90</c:v>
                </c:pt>
                <c:pt idx="3">
                  <c:v>95</c:v>
                </c:pt>
                <c:pt idx="4">
                  <c:v>97.5</c:v>
                </c:pt>
                <c:pt idx="5">
                  <c:v>100</c:v>
                </c:pt>
                <c:pt idx="6">
                  <c:v>102.5</c:v>
                </c:pt>
                <c:pt idx="7">
                  <c:v>105</c:v>
                </c:pt>
                <c:pt idx="8">
                  <c:v>110</c:v>
                </c:pt>
                <c:pt idx="9">
                  <c:v>115</c:v>
                </c:pt>
                <c:pt idx="10">
                  <c:v>120</c:v>
                </c:pt>
              </c:numCache>
            </c:numRef>
          </c:cat>
          <c:val>
            <c:numRef>
              <c:f>'S&amp;P Moneyness'!$B$12:$L$12</c:f>
              <c:numCache>
                <c:formatCode>0.00</c:formatCode>
                <c:ptCount val="11"/>
                <c:pt idx="0">
                  <c:v>26.51</c:v>
                </c:pt>
                <c:pt idx="1">
                  <c:v>25.14</c:v>
                </c:pt>
                <c:pt idx="2">
                  <c:v>23.72</c:v>
                </c:pt>
                <c:pt idx="3">
                  <c:v>22.35</c:v>
                </c:pt>
                <c:pt idx="4">
                  <c:v>21.66</c:v>
                </c:pt>
                <c:pt idx="5">
                  <c:v>20.94</c:v>
                </c:pt>
                <c:pt idx="6">
                  <c:v>20.34</c:v>
                </c:pt>
                <c:pt idx="7">
                  <c:v>19.77</c:v>
                </c:pt>
                <c:pt idx="8">
                  <c:v>18.739999999999998</c:v>
                </c:pt>
                <c:pt idx="9">
                  <c:v>17.86</c:v>
                </c:pt>
                <c:pt idx="10">
                  <c:v>17.420000000000002</c:v>
                </c:pt>
              </c:numCache>
            </c:numRef>
          </c:val>
          <c:extLst>
            <c:ext xmlns:c16="http://schemas.microsoft.com/office/drawing/2014/chart" uri="{C3380CC4-5D6E-409C-BE32-E72D297353CC}">
              <c16:uniqueId val="{0000000A-26CC-4790-BD42-B64A8FEED12D}"/>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997501327"/>
        <c:axId val="997491343"/>
        <c:axId val="993825919"/>
      </c:surface3DChart>
      <c:catAx>
        <c:axId val="997501327"/>
        <c:scaling>
          <c:orientation val="minMax"/>
        </c:scaling>
        <c:delete val="0"/>
        <c:axPos val="b"/>
        <c:title>
          <c:tx>
            <c:rich>
              <a:bodyPr rot="0" vert="horz"/>
              <a:lstStyle/>
              <a:p>
                <a:pPr>
                  <a:defRPr sz="800"/>
                </a:pPr>
                <a:r>
                  <a:rPr lang="en-US" sz="800"/>
                  <a:t>Moneyness (%)</a:t>
                </a:r>
              </a:p>
            </c:rich>
          </c:tx>
          <c:layout>
            <c:manualLayout>
              <c:xMode val="edge"/>
              <c:yMode val="edge"/>
              <c:x val="0.33339296021607256"/>
              <c:y val="0.92612824438611852"/>
            </c:manualLayout>
          </c:layout>
          <c:overlay val="0"/>
          <c:spPr>
            <a:noFill/>
            <a:ln>
              <a:noFill/>
            </a:ln>
            <a:effectLst/>
          </c:spPr>
        </c:title>
        <c:numFmt formatCode="0" sourceLinked="1"/>
        <c:majorTickMark val="out"/>
        <c:minorTickMark val="none"/>
        <c:tickLblPos val="nextTo"/>
        <c:spPr>
          <a:noFill/>
          <a:ln w="9525" cap="flat" cmpd="sng" algn="ctr">
            <a:solidFill>
              <a:schemeClr val="tx1">
                <a:lumMod val="15000"/>
                <a:lumOff val="85000"/>
              </a:schemeClr>
            </a:solidFill>
            <a:round/>
          </a:ln>
          <a:effectLst/>
        </c:spPr>
        <c:txPr>
          <a:bodyPr rot="-60000000" vert="horz"/>
          <a:lstStyle/>
          <a:p>
            <a:pPr>
              <a:defRPr sz="700"/>
            </a:pPr>
            <a:endParaRPr lang="en-US"/>
          </a:p>
        </c:txPr>
        <c:crossAx val="997491343"/>
        <c:crosses val="autoZero"/>
        <c:auto val="1"/>
        <c:lblAlgn val="ctr"/>
        <c:lblOffset val="100"/>
        <c:noMultiLvlLbl val="0"/>
      </c:catAx>
      <c:valAx>
        <c:axId val="997491343"/>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sz="800"/>
                </a:pPr>
                <a:r>
                  <a:rPr lang="en-US" sz="800"/>
                  <a:t>IVol (%)</a:t>
                </a:r>
              </a:p>
            </c:rich>
          </c:tx>
          <c:layout>
            <c:manualLayout>
              <c:xMode val="edge"/>
              <c:yMode val="edge"/>
              <c:x val="4.2969283217477996E-3"/>
              <c:y val="0.45288836051646603"/>
            </c:manualLayout>
          </c:layout>
          <c:overlay val="0"/>
          <c:spPr>
            <a:noFill/>
            <a:ln>
              <a:noFill/>
            </a:ln>
            <a:effectLst/>
          </c:spPr>
        </c:title>
        <c:numFmt formatCode="0" sourceLinked="0"/>
        <c:majorTickMark val="none"/>
        <c:minorTickMark val="none"/>
        <c:tickLblPos val="nextTo"/>
        <c:spPr>
          <a:noFill/>
          <a:ln>
            <a:noFill/>
          </a:ln>
          <a:effectLst/>
        </c:spPr>
        <c:txPr>
          <a:bodyPr rot="-60000000" vert="horz"/>
          <a:lstStyle/>
          <a:p>
            <a:pPr>
              <a:defRPr sz="700"/>
            </a:pPr>
            <a:endParaRPr lang="en-US"/>
          </a:p>
        </c:txPr>
        <c:crossAx val="997501327"/>
        <c:crosses val="autoZero"/>
        <c:crossBetween val="midCat"/>
      </c:valAx>
      <c:serAx>
        <c:axId val="993825919"/>
        <c:scaling>
          <c:orientation val="maxMin"/>
        </c:scaling>
        <c:delete val="0"/>
        <c:axPos val="b"/>
        <c:title>
          <c:tx>
            <c:rich>
              <a:bodyPr rot="0" vert="horz"/>
              <a:lstStyle/>
              <a:p>
                <a:pPr>
                  <a:defRPr sz="800"/>
                </a:pPr>
                <a:r>
                  <a:rPr lang="en-US" sz="800"/>
                  <a:t>Maturity</a:t>
                </a:r>
              </a:p>
            </c:rich>
          </c:tx>
          <c:layout>
            <c:manualLayout>
              <c:xMode val="edge"/>
              <c:yMode val="edge"/>
              <c:x val="0.86820525805643589"/>
              <c:y val="0.74913148877223679"/>
            </c:manualLayout>
          </c:layout>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vert="horz"/>
          <a:lstStyle/>
          <a:p>
            <a:pPr>
              <a:defRPr sz="700"/>
            </a:pPr>
            <a:endParaRPr lang="en-US"/>
          </a:p>
        </c:txPr>
        <c:crossAx val="997491343"/>
        <c:crosses val="autoZero"/>
      </c:serAx>
      <c:spPr>
        <a:solidFill>
          <a:schemeClr val="bg1"/>
        </a:soli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a:softEdge rad="0"/>
    </a:effectLst>
  </c:spPr>
  <c:txPr>
    <a:bodyPr/>
    <a:lstStyle/>
    <a:p>
      <a:pPr>
        <a:defRPr>
          <a:latin typeface="Cambria" panose="02040503050406030204" pitchFamily="18" charset="0"/>
          <a:ea typeface="Cambria" panose="02040503050406030204" pitchFamily="18" charset="0"/>
        </a:defRPr>
      </a:pPr>
      <a:endParaRPr lang="en-US"/>
    </a:p>
  </c:txPr>
  <c:externalData r:id="rId1">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y6drPQgvC6PZU2o/8fmNxg/Mzg==">AMUW2mUv3xI+QMPD3+2btMHE3Re74oRoa7SA78n7UkWryoYz4aX2DLdkh2/Pv8w7hhuejRDaZaHbsYcJIFQG1nGiVDVVA8fL/a4j3me2ZZtzzDnbE2ec/PhpXn9D0Gc4MJmUB1kawbMK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0D0CB1-9CE4-49FE-BD36-9FA1FA641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6</Pages>
  <Words>2202</Words>
  <Characters>12557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BAIANO</dc:creator>
  <cp:lastModifiedBy>FRANCESCO BAIANO</cp:lastModifiedBy>
  <cp:revision>84</cp:revision>
  <dcterms:created xsi:type="dcterms:W3CDTF">2020-12-13T14:03:00Z</dcterms:created>
  <dcterms:modified xsi:type="dcterms:W3CDTF">2020-12-26T20:49:00Z</dcterms:modified>
</cp:coreProperties>
</file>