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Guardian Cell Diagnostics</w:t>
      </w:r>
    </w:p>
    <w:p>
      <w:pPr>
        <w:jc w:val="center"/>
      </w:pPr>
      <w:r>
        <w:t>Design Request v2.0 – wissenschaftlich fundierte Zelldiagnostik</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Dokumentversion</w:t>
            </w:r>
          </w:p>
        </w:tc>
        <w:tc>
          <w:tcPr>
            <w:tcW w:type="dxa" w:w="4873"/>
          </w:tcPr>
          <w:p>
            <w:r>
              <w:t>1.2</w:t>
            </w:r>
          </w:p>
        </w:tc>
      </w:tr>
      <w:tr>
        <w:tc>
          <w:tcPr>
            <w:tcW w:type="dxa" w:w="4873"/>
          </w:tcPr>
          <w:p>
            <w:r>
              <w:rPr>
                <w:b/>
              </w:rPr>
              <w:t>Zielsystem</w:t>
            </w:r>
          </w:p>
        </w:tc>
        <w:tc>
          <w:tcPr>
            <w:tcW w:type="dxa" w:w="4873"/>
          </w:tcPr>
          <w:p>
            <w:r>
              <w:t>Guardian Battery / Guardian Battery Inspector / später Guardian xMS</w:t>
            </w:r>
          </w:p>
        </w:tc>
      </w:tr>
      <w:tr>
        <w:tc>
          <w:tcPr>
            <w:tcW w:type="dxa" w:w="4873"/>
          </w:tcPr>
          <w:p>
            <w:r>
              <w:rPr>
                <w:b/>
              </w:rPr>
              <w:t>Zielhardware</w:t>
            </w:r>
          </w:p>
        </w:tc>
        <w:tc>
          <w:tcPr>
            <w:tcW w:type="dxa" w:w="4873"/>
          </w:tcPr>
          <w:p>
            <w:r>
              <w:t>Pylontech US2000C, LiFePO₄, 15s / 48 V</w:t>
            </w:r>
          </w:p>
        </w:tc>
      </w:tr>
      <w:tr>
        <w:tc>
          <w:tcPr>
            <w:tcW w:type="dxa" w:w="4873"/>
          </w:tcPr>
          <w:p>
            <w:r>
              <w:rPr>
                <w:b/>
              </w:rPr>
              <w:t>Grundprinzip</w:t>
            </w:r>
          </w:p>
        </w:tc>
        <w:tc>
          <w:tcPr>
            <w:tcW w:type="dxa" w:w="4873"/>
          </w:tcPr>
          <w:p>
            <w:r>
              <w:t>Diagnose nach etablierten Verfahren der LiFePO₄-Fachliteratur; transparente Evidenzlogik, keine frei erfundenen Gesundheitswerte oder unbelegten Gesamt-Scores.</w:t>
            </w:r>
          </w:p>
        </w:tc>
      </w:tr>
    </w:tbl>
    <w:p>
      <w:pPr>
        <w:pStyle w:val="Heading1"/>
      </w:pPr>
      <w:r>
        <w:t>1. Zielsetzung</w:t>
      </w:r>
    </w:p>
    <w:p>
      <w:r>
        <w:t>Guardian Battery soll um eine separate Kachel „Zelldiagnostik“ erweitert werden. Ziel ist eine objektive, nachvollziehbare und langfristige Bewertung der 15 Zellgruppen eines Pylontech-US2000C-Moduls. Die Bewertung soll nicht allein auf Momentaufnahmen oder der Häufigkeit von „Lowest/Highest“ beruhen, sondern auf mehreren voneinander unabhängigen diagnostischen Verfahren.</w:t>
      </w:r>
    </w:p>
    <w:p>
      <w:r>
        <w:t>Dabei muss strikt unterschieden werden zwischen:</w:t>
      </w:r>
    </w:p>
    <w:p>
      <w:pPr>
        <w:pStyle w:val="ListBullet"/>
      </w:pPr>
      <w:r>
        <w:t>vom Pylontech-BMS gelieferten Herstellerinformationen,</w:t>
      </w:r>
    </w:p>
    <w:p>
      <w:pPr>
        <w:pStyle w:val="ListBullet"/>
      </w:pPr>
      <w:r>
        <w:t>direkt gemessenen Zellparametern,</w:t>
      </w:r>
    </w:p>
    <w:p>
      <w:pPr>
        <w:pStyle w:val="ListBullet"/>
      </w:pPr>
      <w:r>
        <w:t>von Guardian berechneten diagnostischen Indikatoren,</w:t>
      </w:r>
    </w:p>
    <w:p>
      <w:pPr>
        <w:pStyle w:val="ListBullet"/>
      </w:pPr>
      <w:r>
        <w:t>daraus abgeleiteten Interpretationen.</w:t>
      </w:r>
    </w:p>
    <w:p>
      <w:r>
        <w:t>Guardian darf keine höhere diagnostische Sicherheit suggerieren, als die Messdaten tatsächlich ermöglichen.</w:t>
      </w:r>
    </w:p>
    <w:p>
      <w:pPr>
        <w:pStyle w:val="Heading1"/>
      </w:pPr>
      <w:r>
        <w:t>2. Datenquellen</w:t>
      </w:r>
    </w:p>
    <w:p>
      <w:r>
        <w:t>Die bestehende schnelle pwr-Abfrage bleibt die primäre Quelle für das Live-Monitoring. Für Cell Diagnostics werden zusätzliche Pylontech-Konsolenbefehle genutzt:</w:t>
      </w:r>
    </w:p>
    <w:p>
      <w:pPr>
        <w:pStyle w:val="ListBullet"/>
      </w:pPr>
      <w:r>
        <w:rPr>
          <w:rFonts w:ascii="Consolas" w:hAnsi="Consolas"/>
        </w:rPr>
        <w:t>pwr</w:t>
      </w:r>
    </w:p>
    <w:p>
      <w:pPr>
        <w:pStyle w:val="ListBullet"/>
      </w:pPr>
      <w:r>
        <w:rPr>
          <w:rFonts w:ascii="Consolas" w:hAnsi="Consolas"/>
        </w:rPr>
        <w:t>bat &lt;module&gt;</w:t>
      </w:r>
    </w:p>
    <w:p>
      <w:pPr>
        <w:pStyle w:val="ListBullet"/>
      </w:pPr>
      <w:r>
        <w:rPr>
          <w:rFonts w:ascii="Consolas" w:hAnsi="Consolas"/>
        </w:rPr>
        <w:t>soh</w:t>
      </w:r>
    </w:p>
    <w:p>
      <w:pPr>
        <w:pStyle w:val="ListBullet"/>
      </w:pPr>
      <w:r>
        <w:rPr>
          <w:rFonts w:ascii="Consolas" w:hAnsi="Consolas"/>
        </w:rPr>
        <w:t>stat</w:t>
      </w:r>
    </w:p>
    <w:p>
      <w:r>
        <w:t>bat &lt;module&gt; liefert für alle 15 Zellkanäle unter anderem Zellspannung, Strom, Temperatur, Betriebszustand, SOC, Coulomb-Wert und Balancing-Status.</w:t>
      </w:r>
    </w:p>
    <w:p>
      <w:r>
        <w:t>stat liefert unter anderem Pylontech-SOH, Cycle Count, LifeWarn/LifeAlarm sowie historische Status-/Event-Counter. Diese Werte werden als BMS-Daten gespeichert und nicht mit Guardian-eigenen Bewertungen vermischt.</w:t>
      </w:r>
    </w:p>
    <w:p>
      <w:pPr>
        <w:pStyle w:val="Heading1"/>
      </w:pPr>
      <w:r>
        <w:t>3. Datenerfassung</w:t>
      </w:r>
    </w:p>
    <w:p>
      <w:pPr>
        <w:pStyle w:val="Heading2"/>
      </w:pPr>
      <w:r>
        <w:t>3.1 Fast Monitoring Loop</w:t>
      </w:r>
    </w:p>
    <w:p>
      <w:pPr>
        <w:pStyle w:val="ListBullet"/>
      </w:pPr>
      <w:r>
        <w:t>Modulspannung</w:t>
      </w:r>
    </w:p>
    <w:p>
      <w:pPr>
        <w:pStyle w:val="ListBullet"/>
      </w:pPr>
      <w:r>
        <w:t>Modulstrom</w:t>
      </w:r>
    </w:p>
    <w:p>
      <w:pPr>
        <w:pStyle w:val="ListBullet"/>
      </w:pPr>
      <w:r>
        <w:t>SOC</w:t>
      </w:r>
    </w:p>
    <w:p>
      <w:pPr>
        <w:pStyle w:val="ListBullet"/>
      </w:pPr>
      <w:r>
        <w:t>Temperatur</w:t>
      </w:r>
    </w:p>
    <w:p>
      <w:pPr>
        <w:pStyle w:val="ListBullet"/>
      </w:pPr>
      <w:r>
        <w:t>Status</w:t>
      </w:r>
    </w:p>
    <w:p>
      <w:pPr>
        <w:pStyle w:val="ListBullet"/>
      </w:pPr>
      <w:r>
        <w:t>Alarme</w:t>
      </w:r>
    </w:p>
    <w:p>
      <w:pPr>
        <w:pStyle w:val="Heading2"/>
      </w:pPr>
      <w:r>
        <w:t>3.2 Cell Diagnostic Loop</w:t>
      </w:r>
    </w:p>
    <w:p>
      <w:r>
        <w:t>Regelmäßige bzw. ereignisgesteuerte bat-&lt;module&gt;-Abfrage. Ziel ist eine ausreichend hochaufgelöste Zeitreihe V₁(t), V₂(t), …, V₁₅(t) zusammen mit mindestens I(t), SOC(t), T(t) und Zeitstempel.</w:t>
      </w:r>
    </w:p>
    <w:p>
      <w:r>
        <w:t>Die Polling-Frequenz muss empirisch bestimmt werden. Für dynamische Analysen sollen bei relevanten Laständerungen nach Möglichkeit zusätzliche bat-Messungen ausgelöst werden.</w:t>
      </w:r>
    </w:p>
    <w:p>
      <w:pPr>
        <w:pStyle w:val="Heading2"/>
      </w:pPr>
      <w:r>
        <w:t>3.3 Persistenz, Aggregation und Datenvolumen</w:t>
      </w:r>
    </w:p>
    <w:p>
      <w:pPr/>
      <w:r>
        <w:t>Die Rohdatenerfassung muss so ausgelegt werden, dass kurzfristige diagnostische Ereignisse erhalten bleiben, ohne die Langzeitspeicherung unnötig zu vergrößern. Rohdaten dürfen deshalb hochaufgelöst erfasst werden; parallel sind verdichtete Tages- und Phasenaggregate zu führen.</w:t>
      </w:r>
    </w:p>
    <w:p>
      <w:pPr>
        <w:pStyle w:val="ListBullet"/>
      </w:pPr>
      <w:r>
        <w:t>Anzahl gültiger Messpunkte je Zelle und Betriebsphase,</w:t>
      </w:r>
    </w:p>
    <w:p>
      <w:pPr>
        <w:pStyle w:val="ListBullet"/>
      </w:pPr>
      <w:r>
        <w:t>Median und typische absolute Abweichung vom Zellmedian,</w:t>
      </w:r>
    </w:p>
    <w:p>
      <w:pPr>
        <w:pStyle w:val="ListBullet"/>
      </w:pPr>
      <w:r>
        <w:t>Lowest-/Highest-Anteil und mittlere bzw. mediane Rangposition,</w:t>
      </w:r>
    </w:p>
    <w:p>
      <w:pPr>
        <w:pStyle w:val="ListBullet"/>
      </w:pPr>
      <w:r>
        <w:t>Anzahl, Dauer und maximale zusammenhängende Dauer auffälliger Episoden,</w:t>
      </w:r>
    </w:p>
    <w:p>
      <w:pPr>
        <w:pStyle w:val="ListBullet"/>
      </w:pPr>
      <w:r>
        <w:t>Wiederholung desselben Befunds über mehrere Lade-/Entladezyklen,</w:t>
      </w:r>
    </w:p>
    <w:p>
      <w:pPr>
        <w:pStyle w:val="ListBullet"/>
      </w:pPr>
      <w:r>
        <w:t>Trend der diagnostischen Kennwerte über Tage und Zyklen.</w:t>
      </w:r>
    </w:p>
    <w:p>
      <w:pPr/>
      <w:r>
        <w:t>Für Langzeitberichte und Guardian Battery Inspector sollen bevorzugt diese Aggregate genutzt werden. Hochaufgelöste Rohdaten können nach einer definierten Aufbewahrungszeit downsampled oder ereignisbasiert archiviert werden. Die Aufbewahrungs- und Downsampling-Strategie muss konfigurierbar bleiben.</w:t>
      </w:r>
    </w:p>
    <w:p>
      <w:pPr>
        <w:pStyle w:val="Heading1"/>
      </w:pPr>
      <w:r>
        <w:t>4. Diagnoseverfahren</w:t>
      </w:r>
    </w:p>
    <w:p>
      <w:pPr>
        <w:pStyle w:val="Heading2"/>
      </w:pPr>
      <w:r>
        <w:t>4.1 Phase-Resolved Cell Voltage Consistency</w:t>
      </w:r>
    </w:p>
    <w:p>
      <w:r>
        <w:t>Weiterentwicklung der bisherigen Lowest-/Highest-Analyse. Jeder Messpunkt wird einer Betriebsphase zugeordnet: Laden, Entladen, Ruhe, niedriger SOC und hoher SOC. SOC- und Spannungsgrenzen müssen konfigurierbar sein. Ausgangswerte dürfen sich an der Fachliteratur orientieren, werden jedoch nicht als universelle physikalische Grenzwerte behandelt.</w:t>
      </w:r>
    </w:p>
    <w:p>
      <w:pPr/>
      <w:r>
        <w:t>Die Phasenzuordnung darf nicht ausschließlich auf dem vom BMS gemeldeten SOC beruhen. Sie soll als robuste Mehrkriterien-Logik aus mindestens Stromrichtung und -betrag, Spannungsgradient der mittleren Zell- bzw. Modulspannung, SOC und mittlerer Zellspannung erfolgen. SOC- und Spannungsgrenzen sowie Mindeststrom und Trendfenster müssen konfigurierbar sein. Widersprüchliche oder instabile Zustände werden als nicht eindeutig klassifiziert und nicht für phasenspezifische Evidenz verwendet.</w:t>
      </w:r>
    </w:p>
    <w:p>
      <w:r>
        <w:t>Für jede Zelle wird die Abweichung vom Zellmedian berechnet:</w:t>
      </w:r>
    </w:p>
    <w:p>
      <w:r>
        <w:t>ΔVᵢ(t) = Vᵢ(t) − Median(V₁ … V₁₅)</w:t>
      </w:r>
    </w:p>
    <w:p>
      <w:r>
        <w:t>Zusätzlich wird die Rangposition innerhalb des Moduls bestimmt. Phasenabhängig werden Median der Spannungsabweichung, typische absolute Abweichung, Lowest-/Highest-Häufigkeit, mittlere bzw. mediane Rangposition, Persistenz, maximale zusammenhängende Auffälligkeitsdauer und Entwicklung über mehrere Zyklen ermittelt.</w:t>
      </w:r>
    </w:p>
    <w:p>
      <w:pPr/>
      <w:r>
        <w:t>Persistenz ist bereits Bestandteil von Phase 1. Guardian muss speichern, wie häufig eine Zelle auffällig wird, wie lange Auffälligkeiten zusammenhängend bestehen, ob sie in vergleichbaren Betriebsphasen wiederkehren und ob sich die Abweichung über mehrere Tage bzw. Zyklen systematisch vergrößert oder verkleinert.</w:t>
      </w:r>
    </w:p>
    <w:p>
      <w:r>
        <w:t>Wichtig: Eine hohe Zellspannung ist nicht grundsätzlich „gut“ und eine niedrige nicht grundsätzlich „schlecht“. Die Richtung der Abweichung wird abhängig von der Betriebsphase interpretiert.</w:t>
      </w:r>
    </w:p>
    <w:p>
      <w:pPr>
        <w:pStyle w:val="Heading2"/>
      </w:pPr>
      <w:r>
        <w:t>4.2 Dynamic Resistance Analysis</w:t>
      </w:r>
    </w:p>
    <w:p>
      <w:r>
        <w:t>Bei geeigneten natürlichen Laständerungen wird die dynamische Spannungsantwort untersucht:</w:t>
      </w:r>
    </w:p>
    <w:p>
      <w:r>
        <w:t>Rᵢ ≈ ΔVᵢ / ΔI</w:t>
      </w:r>
    </w:p>
    <w:p>
      <w:r>
        <w:t>Guardian erkennt automatisch geeignete Stromsprünge. Bewertet wird zunächst primär die relative Abweichung innerhalb desselben Moduls:</w:t>
      </w:r>
    </w:p>
    <w:p>
      <w:r>
        <w:t>Rrel,ᵢ = Rᵢ / Median(R₁ … R₁₅)</w:t>
      </w:r>
    </w:p>
    <w:p>
      <w:r>
        <w:t>Absolute Widerstandswerte in mΩ dürfen erst ausgegeben werden, wenn Abtastrate, Synchronität und Messauflösung dafür nachweislich ausreichend sind. Ungeeignete Ereignisse werden verworfen.</w:t>
      </w:r>
    </w:p>
    <w:p>
      <w:pPr/>
      <w:r>
        <w:t>Vor der Nutzung eines Lastwechsels muss ein Quality Gate erfüllt sein. Konfigurierbar festzulegen sind mindestens: Mindest-ΔI, zulässiges Zeitfenster vor und nach dem Stromsprung, maximale Strominstabilität innerhalb der Vergleichsfenster, zulässige Temperaturänderung, Mindestzahl synchroner Zellmessungen und Mindestzahl reproduzierbarer geeigneter Ereignisse. Ereignisse außerhalb dieser Kriterien werden verworfen und dürfen weder relative noch absolute Widerstandsbefunde beeinflussen.</w:t>
      </w:r>
    </w:p>
    <w:p>
      <w:pPr>
        <w:pStyle w:val="Heading2"/>
      </w:pPr>
      <w:r>
        <w:t>4.3 Capacity Consistency Analysis</w:t>
      </w:r>
    </w:p>
    <w:p>
      <w:r>
        <w:t>Während geeigneter Lade-/Entladeabschnitte wird die transportierte Ladungsmenge bestimmt:</w:t>
      </w:r>
    </w:p>
    <w:p>
      <w:r>
        <w:t>Q = ∫ I(t) dt</w:t>
      </w:r>
    </w:p>
    <w:p>
      <w:r>
        <w:t>Untersucht wird, ob einzelne Zellen reproduzierbar früher als die übrigen Zellen vom gemeinsamen Spannungsverlauf abweichen bzw. obere oder untere Spannungsbereiche erreichen. Ziel ist zunächst keine absolute Kapazitätsmessung einer einzelnen Zelle, sondern die Erkennung relativer Kapazitätsinkonsistenzen innerhalb eines Moduls.</w:t>
      </w:r>
    </w:p>
    <w:p>
      <w:pPr>
        <w:pStyle w:val="Heading2"/>
      </w:pPr>
      <w:r>
        <w:t>4.4 Charge/Discharge Curve Analysis</w:t>
      </w:r>
    </w:p>
    <w:p>
      <w:r>
        <w:t>Für geeignete Zyklen werden Zellspannungskurven über der transportierten Ladung Vᵢ(Q) erzeugt. Referenz ist die Median-Kurve des Moduls Vmedian(Q). Die Abweichung einer Zelle kann beispielsweise über einen RMS-Kurvenfehler quantifiziert werden.</w:t>
      </w:r>
    </w:p>
    <w:p>
      <w:r>
        <w:t>Damit werden nicht nur einzelne Extremwerte, sondern Veränderungen der gesamten Lade-/Entladekurve erkannt.</w:t>
      </w:r>
    </w:p>
    <w:p>
      <w:pPr>
        <w:pStyle w:val="Heading2"/>
      </w:pPr>
      <w:r>
        <w:t>4.5 Rest / Relaxation / Drift Analysis</w:t>
      </w:r>
    </w:p>
    <w:p>
      <w:r>
        <w:t>Guardian erkennt geeignete Ruhephasen. Nach einer definierten Relaxationszeit wird untersucht, ob einzelne Zellspannungen gegenüber dem Modulmedian systematisch driften:</w:t>
      </w:r>
    </w:p>
    <w:p>
      <w:r>
        <w:t>Dᵢ = d(Vᵢ − Vmedian) / dt</w:t>
      </w:r>
    </w:p>
    <w:p>
      <w:r>
        <w:t>Dabei werden mindestens Dauer der Ruhephase, vorausgegangene Lade-/Entladephase, Temperaturänderung und Spannungsrelaxation berücksichtigt. Eine ungewöhnliche Drift wird als Indikator ausgewiesen, aber nicht automatisch als „Selbstentladung“ bezeichnet.</w:t>
      </w:r>
    </w:p>
    <w:p>
      <w:pPr>
        <w:pStyle w:val="Heading2"/>
      </w:pPr>
      <w:r>
        <w:t>4.6 ICA/DVA – Advanced Diagnostics</w:t>
      </w:r>
    </w:p>
    <w:p>
      <w:r>
        <w:t>Nur bei ausreichend geeigneten Messdaten werden Incremental Capacity Analysis und Differential Voltage Analysis angewendet:</w:t>
      </w:r>
    </w:p>
    <w:p>
      <w:pPr>
        <w:pStyle w:val="ListBullet"/>
      </w:pPr>
      <w:r>
        <w:t>ICA = dQ/dV</w:t>
      </w:r>
    </w:p>
    <w:p>
      <w:pPr>
        <w:pStyle w:val="ListBullet"/>
      </w:pPr>
      <w:r>
        <w:t>DVA = dV/dQ</w:t>
      </w:r>
    </w:p>
    <w:p>
      <w:r>
        <w:t>Guardian muss vor jeder ICA/DVA-Auswertung die Qualität des Datenabschnitts prüfen. Bei ungeeigneten Bedingungen lautet das Ergebnis ausdrücklich: „Nicht bewertbar – keine geeignete Messsequenz vorhanden.“ Eine ICA/DVA-Auswertung aus ungeeigneten Alltagsdaten darf nicht erzwungen werden.</w:t>
      </w:r>
    </w:p>
    <w:p>
      <w:pPr/>
      <w:r>
        <w:t>Der Grund für „NICHT BEWERTBAR“ muss im UI explizit angegeben werden, beispielsweise: kein ausreichend gleichmäßiger Lade-/Entladeabschnitt, Stromprofil zu dynamisch, unzureichende Spannungsauflösung, zu wenige Messpunkte oder unzureichende Synchronität. Damit wird verhindert, dass fehlende Messqualität als unauffälliger Zellbefund missverstanden wird.</w:t>
      </w:r>
    </w:p>
    <w:p>
      <w:pPr>
        <w:pStyle w:val="Heading1"/>
      </w:pPr>
      <w:r>
        <w:t>5. Evidenzlogik und Phasenbewertung</w:t>
      </w:r>
    </w:p>
    <w:p>
      <w:pPr>
        <w:pStyle w:val="Heading2"/>
      </w:pPr>
      <w:r>
        <w:t>5.1 Keine willkürliche Gesamtpunktzahl</w:t>
      </w:r>
    </w:p>
    <w:p>
      <w:r>
        <w:t>Guardian berechnet auch in v1.3 ausdrücklich keinen frei gewichteten „Cell Health Score 0–100 %“. Insbesondere werden keine unbelegten festen Gewichtungen einzelner Betriebsphasen oder Diagnoseverfahren verwendet.</w:t>
      </w:r>
    </w:p>
    <w:p>
      <w:r>
        <w:t>Die diagnostischen Verfahren bleiben getrennt sichtbar. Eine zusammenfassende Bewertung darf erst erfolgen, wenn mehrere unabhängige Verfahren denselben Befund stützen.</w:t>
      </w:r>
    </w:p>
    <w:p>
      <w:pPr>
        <w:pStyle w:val="Heading2"/>
      </w:pPr>
      <w:r>
        <w:t>5.2 Phasenspezifische diagnostische Relevanz</w:t>
      </w:r>
    </w:p>
    <w:p>
      <w:pPr/>
      <w:r>
        <w:t>Die Betriebsphasen besitzen für unterschiedliche Diagnosefragen eine unterschiedliche Aussagekraft. Diese Aussagekraft wird nicht als frei gewähltes Prozentgewicht in einen Gesamtscore übersetzt, sondern als methodenspezifische Evidenzrelevanz behandelt. Hoher SOC ist beispielsweise besonders geeignet, reproduzierbare Divergenzen am oberen Spannungsende sichtbar zu machen; niedriger SOC kann frühes Abfallen einzelner Zellgruppen zeigen; dynamische Lastwechsel sind für die relative Widerstandsanalyse relevant; stabile Ruhephasen sind für Relaxations- und Driftbefunde erforderlich.</w:t>
      </w:r>
    </w:p>
    <w:p>
      <w:pPr/>
      <w:r>
        <w:t>Für jedes Diagnoseverfahren muss Guardian deshalb dokumentieren, welche Betriebsphasen und Messbedingungen für diesen Befund besonders relevant sind und wie gut diese im Beobachtungszeitraum tatsächlich abgedeckt wurden. Fehlende relevante Phasen reduzieren die Confidence, dürfen aber nicht durch ein künstliches Gewicht kompensiert werden.</w:t>
      </w:r>
    </w:p>
    <w:p>
      <w:pPr/>
      <w:r>
        <w:t>Die Gesamt-Evidenz entsteht aus der Übereinstimmung mehrerer unabhängiger Befunde, ihrer Reproduzierbarkeit, Datenqualität, Beobachtungsdauer und Abdeckung der jeweils relevanten Betriebsphasen. Die hierfür verwendete Logik muss versioniert und erklärbar bleiben.</w:t>
      </w:r>
    </w:p>
    <w:p>
      <w:pPr>
        <w:pStyle w:val="Heading2"/>
      </w:pPr>
      <w:r>
        <w:t>5.3 Langzeittrend und Predictive Maintenance</w:t>
      </w:r>
    </w:p>
    <w:p>
      <w:pPr/>
      <w:r>
        <w:t>Guardian muss neben dem aktuellen Zustand ausdrücklich die zeitliche Entwicklung einer Zelle bewerten. Ziel ist die möglichst frühe Erkennung reproduzierbarer Verschlechterungstendenzen, bevor eine einzelne Zellgruppe zum begrenzenden oder sicherheitsrelevanten Faktor für das gesamte Modul wird.</w:t>
      </w:r>
    </w:p>
    <w:p>
      <w:pPr/>
      <w:r>
        <w:t>Mindestens zu verfolgen sind: Trend der phasenbezogenen Spannungsabweichung, Veränderung der Lowest-/Highest-Persistenz, Entwicklung des relativen dynamischen Widerstands, wiederholtes früheres Erreichen oberer oder unterer Spannungsgrenzen, Veränderungen von Lade-/Entladekurven, Relaxations-/Driftverhalten sowie – soweit verfügbar – Häufigkeit und Dauer von Balancing-Aktivität. Einzelne Indikatoren dürfen nicht isoliert als Ausfallprognose interpretiert werden.</w:t>
      </w:r>
    </w:p>
    <w:p>
      <w:pPr/>
      <w:r>
        <w:t>Die Benutzeroberfläche trennt drei Aussagen: Current Condition (aktueller diagnostischer Befund), Trend (stabil / verbessernd / verschlechternd / unklar) und Risk / Maintenance Relevance (kein Hinweis / beobachten / Wartung empfohlen / Service dringend). Ein konkreter Restlebensdauer- oder Ausfallzeitpunkt darf erst dann ausgegeben werden, wenn dafür eine empirisch validierte Datenbasis vorhanden ist.</w:t>
      </w:r>
    </w:p>
    <w:p>
      <w:pPr>
        <w:pStyle w:val="Heading1"/>
      </w:pPr>
      <w:r>
        <w:t>6. Bewertungssystem</w:t>
      </w:r>
    </w:p>
    <w:p>
      <w:r>
        <w:t>Jedes Diagnoseverfahren erhält einen Status:</w:t>
      </w:r>
    </w:p>
    <w:p>
      <w:pPr>
        <w:pStyle w:val="ListBullet"/>
      </w:pPr>
      <w:r>
        <w:t>NORMAL</w:t>
      </w:r>
    </w:p>
    <w:p>
      <w:pPr>
        <w:pStyle w:val="ListBullet"/>
      </w:pPr>
      <w:r>
        <w:t>BEOBACHTEN</w:t>
      </w:r>
    </w:p>
    <w:p>
      <w:pPr>
        <w:pStyle w:val="ListBullet"/>
      </w:pPr>
      <w:r>
        <w:t>AUFFÄLLIG</w:t>
      </w:r>
    </w:p>
    <w:p>
      <w:pPr>
        <w:pStyle w:val="ListBullet"/>
      </w:pPr>
      <w:r>
        <w:t>KRITISCH</w:t>
      </w:r>
    </w:p>
    <w:p>
      <w:pPr>
        <w:pStyle w:val="ListBullet"/>
      </w:pPr>
      <w:r>
        <w:t>NICHT BEWERTBAR</w:t>
      </w:r>
    </w:p>
    <w:p>
      <w:r>
        <w:t>Zusätzlich wird eine Confidence als LOW / MEDIUM / HIGH ausgegeben. Sie basiert auf Datenqualität, Zahl geeigneter Ereignisse, Reproduzierbarkeit und Beobachtungsdauer. Eine Zelle darf aufgrund einer einzelnen Messung nicht als geschädigt klassifiziert werden.</w:t>
      </w:r>
    </w:p>
    <w:p>
      <w:pPr/>
      <w:r>
        <w:t>Status und Confidence sind unabhängig voneinander darzustellen. Ein auffälliger Status mit LOW Confidence ist ein vorläufiger Hinweis und keine Schadensdiagnose; ein reproduzierter Befund mit HIGH Confidence besitzt dagegen eine deutlich höhere diagnostische Evidenz. Die UI muss diese Trennung sichtbar machen. Zusätzlich sind Trend und Maintenance Risk als eigene Dimensionen darzustellen; sie dürfen nicht in den Status oder die Confidence eingerechnet werden, ohne dass die zugrunde liegende Logik explizit dokumentiert ist.</w:t>
      </w:r>
    </w:p>
    <w:p>
      <w:pPr>
        <w:pStyle w:val="Heading1"/>
      </w:pPr>
      <w:r>
        <w:t>7. Hersteller-SOH strikt getrennt halten</w:t>
      </w:r>
    </w:p>
    <w:p>
      <w:r>
        <w:t>Der vom Pylontech-BMS ausgegebene SOH-Prozentwert ist ein Herstellerwert. Guardian darf daraus keinen eigenen SOH ableiten oder ihn mit Guardian-Indikatoren verrechnen.</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PYLONTECH BMS</w:t>
            </w:r>
          </w:p>
        </w:tc>
        <w:tc>
          <w:tcPr>
            <w:tcW w:type="dxa" w:w="4873"/>
          </w:tcPr>
          <w:p>
            <w:r>
              <w:rPr>
                <w:b/>
              </w:rPr>
              <w:t>GUARDIAN CELL DIAGNOSTICS</w:t>
            </w:r>
          </w:p>
        </w:tc>
      </w:tr>
      <w:tr>
        <w:tc>
          <w:tcPr>
            <w:tcW w:type="dxa" w:w="4873"/>
          </w:tcPr>
          <w:p>
            <w:r>
              <w:t>SOH: 96 %</w:t>
            </w:r>
          </w:p>
        </w:tc>
        <w:tc>
          <w:tcPr>
            <w:tcW w:type="dxa" w:w="4873"/>
          </w:tcPr>
          <w:p>
            <w:r>
              <w:t>Voltage Consistency: AUFFÄLLIG</w:t>
            </w:r>
          </w:p>
        </w:tc>
      </w:tr>
      <w:tr>
        <w:tc>
          <w:tcPr>
            <w:tcW w:type="dxa" w:w="4873"/>
          </w:tcPr>
          <w:p>
            <w:r>
              <w:t>Cycles: 427</w:t>
            </w:r>
          </w:p>
        </w:tc>
        <w:tc>
          <w:tcPr>
            <w:tcW w:type="dxa" w:w="4873"/>
          </w:tcPr>
          <w:p>
            <w:r>
              <w:t>Dynamic Resistance: NORMAL</w:t>
            </w:r>
          </w:p>
        </w:tc>
      </w:tr>
      <w:tr>
        <w:tc>
          <w:tcPr>
            <w:tcW w:type="dxa" w:w="4873"/>
          </w:tcPr>
          <w:p>
            <w:r>
              <w:t>Life Warning: 0</w:t>
            </w:r>
          </w:p>
        </w:tc>
        <w:tc>
          <w:tcPr>
            <w:tcW w:type="dxa" w:w="4873"/>
          </w:tcPr>
          <w:p>
            <w:r>
              <w:t>Capacity Consistency: BEOBACHTEN</w:t>
            </w:r>
          </w:p>
        </w:tc>
      </w:tr>
      <w:tr>
        <w:tc>
          <w:tcPr>
            <w:tcW w:type="dxa" w:w="4873"/>
          </w:tcPr>
          <w:p>
            <w:r>
              <w:t>Life Alarm: 0</w:t>
            </w:r>
          </w:p>
        </w:tc>
        <w:tc>
          <w:tcPr>
            <w:tcW w:type="dxa" w:w="4873"/>
          </w:tcPr>
          <w:p>
            <w:r>
              <w:t>Curve Analysis: NORMAL</w:t>
            </w:r>
          </w:p>
        </w:tc>
      </w:tr>
      <w:tr>
        <w:tc>
          <w:tcPr>
            <w:tcW w:type="dxa" w:w="4873"/>
          </w:tcPr>
          <w:p>
            <w:r/>
          </w:p>
        </w:tc>
        <w:tc>
          <w:tcPr>
            <w:tcW w:type="dxa" w:w="4873"/>
          </w:tcPr>
          <w:p>
            <w:r>
              <w:t>Rest/Drift: NORMAL</w:t>
            </w:r>
          </w:p>
        </w:tc>
      </w:tr>
      <w:tr>
        <w:tc>
          <w:tcPr>
            <w:tcW w:type="dxa" w:w="4873"/>
          </w:tcPr>
          <w:p>
            <w:r/>
          </w:p>
        </w:tc>
        <w:tc>
          <w:tcPr>
            <w:tcW w:type="dxa" w:w="4873"/>
          </w:tcPr>
          <w:p>
            <w:r>
              <w:t>ICA/DVA: NICHT BEWERTBAR</w:t>
            </w:r>
          </w:p>
        </w:tc>
      </w:tr>
      <w:tr>
        <w:tc>
          <w:tcPr>
            <w:tcW w:type="dxa" w:w="4873"/>
          </w:tcPr>
          <w:p>
            <w:r/>
          </w:p>
        </w:tc>
        <w:tc>
          <w:tcPr>
            <w:tcW w:type="dxa" w:w="4873"/>
          </w:tcPr>
          <w:p>
            <w:r>
              <w:t>Overall Evidence: BEOBACHTEN</w:t>
            </w:r>
          </w:p>
        </w:tc>
      </w:tr>
      <w:tr>
        <w:tc>
          <w:tcPr>
            <w:tcW w:type="dxa" w:w="4873"/>
          </w:tcPr>
          <w:p>
            <w:r/>
          </w:p>
        </w:tc>
        <w:tc>
          <w:tcPr>
            <w:tcW w:type="dxa" w:w="4873"/>
          </w:tcPr>
          <w:p>
            <w:r>
              <w:t>Confidence: HIGH</w:t>
            </w:r>
          </w:p>
        </w:tc>
      </w:tr>
    </w:tbl>
    <w:p>
      <w:pPr>
        <w:pStyle w:val="Heading1"/>
      </w:pPr>
      <w:r>
        <w:t>8. Erklärbarkeit</w:t>
      </w:r>
    </w:p>
    <w:p>
      <w:r>
        <w:t>Jede Bewertung muss nachvollziehbar sein. Beispiel:</w:t>
      </w:r>
    </w:p>
    <w:p>
      <w:r>
        <w:rPr>
          <w:b/>
        </w:rPr>
        <w:t>Zelle 2 – AUFFÄLLIG</w:t>
      </w:r>
    </w:p>
    <w:p>
      <w:r>
        <w:t>Im niedrigen SOC-Bereich lag Zelle 2 bei 87 % der gültigen Messungen unter dem Zellmedian. Mediane Abweichung −18 mV. Bei 14 von 16 geeigneten Entladephasen zeigte sich dasselbe Verhalten. Dynamischer Widerstandsindex zusätzlich +24 % gegenüber Modulmedian.</w:t>
      </w:r>
    </w:p>
    <w:p>
      <w:r>
        <w:rPr>
          <w:b/>
        </w:rPr>
        <w:t>Confidence:</w:t>
      </w:r>
      <w:r>
        <w:t xml:space="preserve"> HIGH</w:t>
      </w:r>
    </w:p>
    <w:p>
      <w:pPr>
        <w:pStyle w:val="Heading2"/>
      </w:pPr>
      <w:r>
        <w:t>8.1 Darstellung, Einheiten und Mouse-over-Erklärungen</w:t>
      </w:r>
    </w:p>
    <w:p>
      <w:pPr/>
      <w:r>
        <w:t>Jeder physikalische Mess- oder Diagnosewert muss mit einer eindeutigen Einheit dargestellt werden, beispielsweise mV, V, A, mΩ, °C, Ah oder %. Dimensionslose Kennwerte sind ausdrücklich als relativ bzw. dimensionslos zu kennzeichnen. Keine Zahl darf im UI ohne verständliche Bedeutung erscheinen.</w:t>
      </w:r>
    </w:p>
    <w:p>
      <w:pPr/>
      <w:r>
        <w:t>Für jeden Parameter und jede Diagnosekennzahl ist ein Mouse-over-/Infofeld vorzusehen. Dieses erklärt mindestens: Bedeutung des Parameters, Datenquelle (BMS / Messwert / Guardian-Berechnung), Einheit, Berechnungsprinzip, relevante Betriebsphase, Interpretationsrichtung sowie bekannte Grenzen der Aussagekraft. Bei abgeleiteten Statuswerten muss zusätzlich erkennbar sein, welche Evidenz zum Status geführt hat.</w:t>
      </w:r>
    </w:p>
    <w:p>
      <w:pPr/>
      <w:r>
        <w:t>Zeitreihengrafiken sollen relevante Betriebsphasen, Alarme und Wartungsereignisse visuell markieren. Dadurch muss unmittelbar erkennbar werden, ob sich ein diagnostischer Trend vor oder nach einem Eingriff verändert hat.</w:t>
      </w:r>
    </w:p>
    <w:p>
      <w:pPr>
        <w:pStyle w:val="Heading2"/>
      </w:pPr>
      <w:r>
        <w:t>8.2 Verbindlicher UI-Standard für Diagnoseparameter</w:t>
      </w:r>
    </w:p>
    <w:p>
      <w:pPr/>
      <w:r>
        <w:t>Für Guardian Cell Diagnostics gilt das Prinzip „Explainable Diagnostics by Design“. Kein diagnostischer Wert darf als isolierte Zahl erscheinen. Jede Darstellung muss mindestens Parametername, Wert, Einheit bzw. Kennzeichnung als dimensionslos, Datenquelle, Berechnungsdefinition, Betriebsphasenkontext und Confidence-/Datenqualitätsbezug zugänglich machen.</w:t>
      </w:r>
    </w:p>
    <w:p>
      <w:pPr>
        <w:pStyle w:val="ListBullet"/>
      </w:pPr>
      <w:r>
        <w:t>Medianabweichung: Einheit mV; Tooltip erklärt ΔVᵢ = Vᵢ − Median(V₁…V₁₅), Vorzeichen und relevante Betriebsphase.</w:t>
      </w:r>
    </w:p>
    <w:p>
      <w:pPr>
        <w:pStyle w:val="ListBullet"/>
      </w:pPr>
      <w:r>
        <w:t>Lowest-/Highest-Anteil: Einheit %; Tooltip erklärt den Anteil gültiger Messpunkte, die Stichprobengröße und ausdrücklich, dass ein hoher Anteil allein keinen Defekt beweist.</w:t>
      </w:r>
    </w:p>
    <w:p>
      <w:pPr>
        <w:pStyle w:val="ListBullet"/>
      </w:pPr>
      <w:r>
        <w:t>Mittlerer Rang: Darstellung als „Rang x von 15“ statt einer einheitslosen nackten Dezimalzahl; Tooltip erklärt Rangrichtung, Stichprobengröße und Aussagegrenze.</w:t>
      </w:r>
    </w:p>
    <w:p>
      <w:pPr>
        <w:pStyle w:val="ListBullet"/>
      </w:pPr>
      <w:r>
        <w:t>Confidence: LOW / MEDIUM / HIGH, ausdrücklich dimensionslos; Tooltip nennt Datenmenge, Reproduzierbarkeit, Beobachtungsdauer und Abdeckung relevanter Phasen.</w:t>
      </w:r>
    </w:p>
    <w:p>
      <w:pPr>
        <w:pStyle w:val="ListBullet"/>
      </w:pPr>
      <w:r>
        <w:t>Status: NORMAL / BEOBACHTEN / AUFFÄLLIG / KRITISCH / NICHT BEWERTBAR; Tooltip nennt die Evidenz, die zum Status geführt hat, sowie fehlende Evidenz.</w:t>
      </w:r>
    </w:p>
    <w:p>
      <w:pPr>
        <w:pStyle w:val="Heading2"/>
      </w:pPr>
      <w:r>
        <w:t>8.3 Verbindlicher UI-Standard für Zeitreihengrafiken</w:t>
      </w:r>
    </w:p>
    <w:p>
      <w:pPr/>
      <w:r>
        <w:t>Zeitreihengrafiken müssen so gestaltet sein, dass die physikalische und diagnostische Bedeutung ohne Kenntnis der Implementierung verständlich ist. Die bisherige Darstellung einer einzigen ungekennzeichneten ΔV-Linie über alle Betriebszustände ist als alleinige Diagnosegrafik nicht ausreichend, weil dieselbe Abweichung je nach Lade-, Entlade-, Tief-, Hoch- oder Ruhephase unterschiedlich zu interpretieren ist.</w:t>
      </w:r>
    </w:p>
    <w:p>
      <w:pPr>
        <w:pStyle w:val="ListBullet"/>
      </w:pPr>
      <w:r>
        <w:t>Y-Achse mit vollständiger Bezeichnung und Einheit, z. B. „Abweichung zum Modulmedian [mV]“; X-Achse „Zeit“.</w:t>
      </w:r>
    </w:p>
    <w:p>
      <w:pPr>
        <w:pStyle w:val="ListBullet"/>
      </w:pPr>
      <w:r>
        <w:t>Sichtbare 0-mV-Referenzlinie als Modulmedian.</w:t>
      </w:r>
    </w:p>
    <w:p>
      <w:pPr>
        <w:pStyle w:val="ListBullet"/>
      </w:pPr>
      <w:r>
        <w:t>Mouse-over/Info am Datenpunkt mit mindestens Zeitstempel, Zellspannung [mV], Modulmedian [mV], ΔV [mV], Betriebsphase, SOC [%], Modulstrom [A] und – soweit verfügbar – Temperatur [°C].</w:t>
      </w:r>
    </w:p>
    <w:p>
      <w:pPr>
        <w:pStyle w:val="ListBullet"/>
      </w:pPr>
      <w:r>
        <w:t>Betriebsphasen müssen visuell unterscheidbar sein oder über Filter/Serien getrennt dargestellt werden; eine phasenübergreifende Linie darf nicht ohne Phasenkennzeichnung diagnostisch interpretiert werden.</w:t>
      </w:r>
    </w:p>
    <w:p>
      <w:pPr>
        <w:pStyle w:val="ListBullet"/>
      </w:pPr>
      <w:r>
        <w:t>Alarme, Balancing- und Wartungsereignisse werden als Zeitmarker eingeblendet, sofern sie für den betrachteten Zeitraum vorliegen.</w:t>
      </w:r>
    </w:p>
    <w:p>
      <w:pPr>
        <w:pStyle w:val="ListBullet"/>
      </w:pPr>
      <w:r>
        <w:t>Bei unzureichender Datenbasis muss die Grafik dies sichtbar ausweisen; fehlende Daten dürfen nicht als Nullwerte dargestellt werden.</w:t>
      </w:r>
    </w:p>
    <w:p>
      <w:pPr>
        <w:pStyle w:val="Heading2"/>
      </w:pPr>
      <w:r>
        <w:t>8.4 Phasenübersicht vor Zeitreiheninterpretation</w:t>
      </w:r>
    </w:p>
    <w:p>
      <w:pPr/>
      <w:r>
        <w:t>Die Zell-Detailansicht soll vor der Roh-Zeitreihe eine kompakte phasenbezogene Evidenzübersicht zeigen. Für Tiefbereich, Entladung, Ladung, Hochbereich und – soweit belastbar – Ruhe werden mindestens Medianabweichung [mV], gültige Messpunkte [n], Lowest-/Highest-Anteil [%] bzw. Ranginformation und phasenspezifische Confidence dargestellt. Dadurch bleibt sichtbar, ob ein Befund reproduzierbar in einer diagnostisch relevanten Phase auftritt.</w:t>
      </w:r>
    </w:p>
    <w:p>
      <w:pPr/>
      <w:r>
        <w:t>Beispielinterpretation: „Lowest-Anteil 100 %“ bei einer Medianabweichung von nur −3 mV bedeutet zunächst lediglich, dass die Zelle in allen gültigen Messpunkten dieser Phase die niedrigste Zellspannung hatte. Die diagnostische Relevanz entsteht erst aus Betrag, Zahl gültiger Messpunkte, Persistenz, Wiederholung über Zyklen und weiterer unabhängiger Evidenz.</w:t>
      </w:r>
    </w:p>
    <w:p>
      <w:pPr>
        <w:pStyle w:val="Heading1"/>
      </w:pPr>
      <w:r>
        <w:t>9. Maintenance &amp; Service History – digitales Wartungsbuch</w:t>
      </w:r>
    </w:p>
    <w:p>
      <w:pPr/>
      <w:r>
        <w:t>Guardian Cell Diagnostics erhält ein dauerhaftes, strukturiertes Wartungsbuch. Manuelle Eingriffe beeinflussen den beobachteten Zellzustand und müssen deshalb als eigener Kontext neben den Messdaten gespeichert werden. Wartungsdaten verändern niemals rückwirkend Rohmesswerte und werden nicht als „Beweis“ für einen guten oder schlechten Zellzustand verwendet.</w:t>
      </w:r>
    </w:p>
    <w:p>
      <w:pPr>
        <w:pStyle w:val="Heading2"/>
      </w:pPr>
      <w:r>
        <w:t>9.1 Zu erfassende Wartungsereignisse</w:t>
      </w:r>
    </w:p>
    <w:p>
      <w:pPr>
        <w:pStyle w:val="ListBullet"/>
      </w:pPr>
      <w:r>
        <w:t>manuelles Top-/Bottom-Balancing bzw. gezieltes Halten auf definierter Ladespannung,</w:t>
      </w:r>
    </w:p>
    <w:p>
      <w:pPr>
        <w:pStyle w:val="ListBullet"/>
      </w:pPr>
      <w:r>
        <w:t>separates Laden oder Entladen eines Moduls,</w:t>
      </w:r>
    </w:p>
    <w:p>
      <w:pPr>
        <w:pStyle w:val="ListBullet"/>
      </w:pPr>
      <w:r>
        <w:t>Modultausch, Zell-/BMS-Reparatur oder Änderung der Stack-Reihenfolge,</w:t>
      </w:r>
    </w:p>
    <w:p>
      <w:pPr>
        <w:pStyle w:val="ListBullet"/>
      </w:pPr>
      <w:r>
        <w:t>BMS-Reset, Neustart, Firmware-/Konfigurationsänderung,</w:t>
      </w:r>
    </w:p>
    <w:p>
      <w:pPr>
        <w:pStyle w:val="ListBullet"/>
      </w:pPr>
      <w:r>
        <w:t>Änderung von Lade-, Entlade-, SOC- oder Spannungsgrenzen,</w:t>
      </w:r>
    </w:p>
    <w:p>
      <w:pPr>
        <w:pStyle w:val="ListBullet"/>
      </w:pPr>
      <w:r>
        <w:t>sonstige Service- oder Diagnosemaßnahmen mit möglichem Einfluss auf den Zellverlauf.</w:t>
      </w:r>
    </w:p>
    <w:p>
      <w:pPr>
        <w:pStyle w:val="Heading2"/>
      </w:pPr>
      <w:r>
        <w:t>9.2 Datenschema eines Wartungseintrags</w:t>
      </w:r>
    </w:p>
    <w:p>
      <w:pPr/>
      <w:r>
        <w:t>Mindestens zu speichern sind: eindeutige Event-ID, Zeitstempel und Dauer, betroffener Stack und Modul-Seriennummer, optional betroffene Zellgruppe, Maßnahmenart, Anlass, Zielparameter (z. B. Zielspannung oder SOC), tatsächlich erreichte Parameter, Strom und Temperatur soweit verfügbar, verantwortliche Person/Quelle, Freitextnotiz sowie optional verknüpfte Screenshots, Reports oder Logdateien. Manuell erfasste und automatisch erkannte Ereignisse müssen unterscheidbar sein.</w:t>
      </w:r>
    </w:p>
    <w:p>
      <w:pPr>
        <w:pStyle w:val="Heading2"/>
      </w:pPr>
      <w:r>
        <w:t>9.3 Vorher-/Nachher-Analyse</w:t>
      </w:r>
    </w:p>
    <w:p>
      <w:pPr/>
      <w:r>
        <w:t>Guardian soll Wartungsereignisse als Marker in Zeitreihen darstellen und standardisierte Vorher-/Nachher-Fenster bilden. Für geeignete Maßnahmen werden dieselben diagnostischen Kennwerte vor und nach dem Eingriff verglichen. So kann beispielsweise sichtbar werden, ob sich Spannungsstreuung, Rangpersistenz, dynamischer Widerstandsindex oder Relaxationsverhalten nach einem Balancing dauerhaft verbessern, nur kurzfristig verändern oder unverändert bleiben.</w:t>
      </w:r>
    </w:p>
    <w:p>
      <w:pPr/>
      <w:r>
        <w:t>Eine beobachtete Verbesserung oder Verschlechterung nach einer Maßnahme ist zunächst eine zeitliche Assoziation und keine automatisch bewiesene Kausalität. Guardian muss mögliche Störgrößen wie Temperatur, SOC-Bereich, Lastprofil und Datenabdeckung berücksichtigen und die Confidence der Interventionsauswertung ausweisen.</w:t>
      </w:r>
    </w:p>
    <w:p>
      <w:pPr>
        <w:pStyle w:val="Heading1"/>
      </w:pPr>
      <w:r>
        <w:t>10. Evidence Collection, Validierung und wissenschaftlicher Status</w:t>
      </w:r>
    </w:p>
    <w:p>
      <w:pPr>
        <w:pStyle w:val="Heading2"/>
      </w:pPr>
      <w:r>
        <w:t>10.1 Evidenzklassen</w:t>
      </w:r>
    </w:p>
    <w:p>
      <w:pPr/>
      <w:r>
        <w:t>Jedes Diagnoseverfahren, jeder Schwellenwert und jede Interpretationsregel erhält einen dokumentierten Evidenzstatus. Vorgesehen sind mindestens: (A) in Fachliteratur etabliertes Verfahren, (B) technisch plausible Engineering-Heuristik, (C) Guardian-empirisch validierter Zusammenhang und (D) experimentelle/hypothesengenerierende Analyse. Quelle, Versionsstand und Validierungsstatus sind Bestandteil der Methodendokumentation.</w:t>
      </w:r>
    </w:p>
    <w:p>
      <w:pPr/>
      <w:r>
        <w:t>Damit wird transparent unterschieden zwischen wissenschaftlich etablierten Einzelverfahren und der noch aufzubauenden Felderfahrung für konkrete Pylontech-/Hycube-Systeme. Guardian darf aus fehlender Literatur keinen scheinbar exakten Algorithmus konstruieren; stattdessen werden mehrere nachvollziehbare Verfahren kombiniert und ihre Aussagegrenzen offengelegt.</w:t>
      </w:r>
    </w:p>
    <w:p>
      <w:pPr>
        <w:pStyle w:val="Heading2"/>
      </w:pPr>
      <w:r>
        <w:t>10.2 Outcome-Validierung</w:t>
      </w:r>
    </w:p>
    <w:p>
      <w:pPr/>
      <w:r>
        <w:t>Für Predictive Maintenance muss Guardian Vorhersage und späteren realen Verlauf miteinander verknüpfen. Ein Befund wird deshalb langfristig gegen tatsächliche Ereignisse validiert, beispielsweise nachhaltige Stabilisierung nach Wartung, zunehmende Begrenzung der nutzbaren Kapazität, wiederkehrende Alarme, Modultausch oder bestätigter Zell-/Moduldefekt. So entsteht schrittweise eine nachvollziehbare Evidence Base statt einer statischen Regelmenge.</w:t>
      </w:r>
    </w:p>
    <w:p>
      <w:pPr>
        <w:pStyle w:val="Heading1"/>
      </w:pPr>
      <w:r>
        <w:t>11. Architektur</w:t>
      </w:r>
    </w:p>
    <w:p>
      <w:r>
        <w:t>Die diagnostische Logik soll nicht fest in die Guardian-Battery-Oberfläche programmiert werden. Vorgesehen ist ein eigenständiges Diagnosemodul, beispielsweise:</w:t>
      </w:r>
    </w:p>
    <w:p>
      <w:r>
        <w:rPr>
          <w:rFonts w:ascii="Consolas" w:hAnsi="Consolas"/>
        </w:rPr>
        <w:t>guardian_cell_diagnostics.py</w:t>
      </w:r>
    </w:p>
    <w:p>
      <w:r>
        <w:t>Dieses verarbeitet standardisierte Zeitreihendaten und liefert strukturierte Diagnoseergebnisse. Dadurch kann dieselbe Engine von Guardian Battery für Live-Diagnose und von Guardian Battery Inspector für retrospektive Analyse, Trends und Reports genutzt werden. Es darf keine getrennten, voneinander abweichenden Bewertungsalgorithmen geben.</w:t>
      </w:r>
    </w:p>
    <w:p>
      <w:pPr/>
      <w:r>
        <w:t>Die Diagnose-Engine soll neben Rohzeitreihen standardisierte phasen-, tages- und zyklusbezogene Aggregate, Wartungsereignisse, Evidenz-/Confidence-Metadaten sowie versionierte Trend- und Risikobefunde erzeugen. Diese bilden die gemeinsame Datenbasis für Live-Dashboard, Guardian Battery Inspector und die spätere Empfehlungsschicht in Guardian xMS. Eine KI darf Befunde erklären, priorisieren und Handlungsempfehlungen ableiten, jedoch keine Messwerte oder diagnostische Evidenz erfinden und keine fehlende Datenqualität durch sprachliche Sicherheit kompensieren.</w:t>
      </w:r>
    </w:p>
    <w:p>
      <w:pPr>
        <w:pStyle w:val="Heading1"/>
      </w:pPr>
      <w:r>
        <w:t>12. Kollektive Evidenzbasis für Guardian xMS</w:t>
      </w:r>
    </w:p>
    <w:p>
      <w:pPr/>
      <w:r>
        <w:t>Die lokale Diagnose bleibt die primäre und vollständig nutzbare Ebene. Perspektivisch soll Guardian xMS jedoch freiwillig freigegebene, pseudonymisierte Diagnose- und Verlaufsdaten mehrerer technisch vergleichbarer Systeme auswerten können. Ziel ist nicht die zentrale Sammlung beliebiger Rohdaten, sondern der Aufbau belastbarer Vergleichskohorten und die Erkennung wiederkehrender Vorläufermuster.</w:t>
      </w:r>
    </w:p>
    <w:p>
      <w:pPr/>
      <w:r>
        <w:t>Für eine spätere Datenspende sind Privacy-by-Design, ausdrückliches Opt-in, Datenminimierung, Pseudonymisierung und transparente Zweckbindung zwingend. Personenbezogene Identifikatoren, Standortdaten oder andere für die Zelldiagnose nicht notwendige Daten dürfen nicht Bestandteil der wissenschaftlichen Auswertung sein. Wo möglich, sollen standardisierte Aggregate und Ereignismerkmale anstelle vollständiger Rohzeitreihen übertragen werden.</w:t>
      </w:r>
    </w:p>
    <w:p>
      <w:pPr/>
      <w:r>
        <w:t>Vergleichskohorten sollen mindestens nach Batterietyp, Firmware-/BMS-Generation, Alter bzw. Betriebsdauer, Cycle Count, Temperaturbereich, Last-/Ladeprofil und relevanten Systemeinstellungen differenziert werden. Aussagen wie „bei vergleichbaren Systemen trat dieses Muster vor einem später bestätigten Problem gehäuft auf“ sind erst nach ausreichender Fallzahl und Validierung zulässig.</w:t>
      </w:r>
    </w:p>
    <w:p>
      <w:pPr/>
      <w:r>
        <w:t>Die kollektive Datenbasis dient zunächst der Hypothesenbildung, Benchmarking und Kalibrierung von Confidence- und Risikologik. Erst validierte Zusammenhänge dürfen in produktive Wartungsempfehlungen überführt werden. Modell- und Regelversionen müssen nachvollziehbar versioniert sein.</w:t>
      </w:r>
    </w:p>
    <w:p>
      <w:pPr>
        <w:pStyle w:val="Heading1"/>
      </w:pPr>
      <w:r>
        <w:t>13. Nächster Implementierungsschritt – Explainable Diagnostics UI</w:t>
      </w:r>
    </w:p>
    <w:p>
      <w:pPr/>
      <w:r>
        <w:t>Der unmittelbar auf Guardian Battery 0.4.2 folgende Implementierungsschritt soll die bereits vorhandene Diagnose-Engine nicht methodisch neu gewichten, sondern ihre Darstellung und Metadaten für eine fachlich eindeutige Nutzung härten. Dieses Arbeitspaket ist Voraussetzung, bevor zusätzliche Diagnoseverfahren prominent in der Oberfläche dargestellt werden.</w:t>
      </w:r>
    </w:p>
    <w:p>
      <w:pPr>
        <w:pStyle w:val="ListBullet"/>
      </w:pPr>
      <w:r>
        <w:t>Einheiten-Audit aller MQTT- und Home-Assistant-Entitäten; jeder physikalische Wert erhält eine korrekte native Einheit, dimensionslose Kennwerte eine explizite Kennzeichnung.</w:t>
      </w:r>
    </w:p>
    <w:p>
      <w:pPr>
        <w:pStyle w:val="ListBullet"/>
      </w:pPr>
      <w:r>
        <w:t>Parameter-Metadatenkatalog als Single Source of Truth mit Name, Definition, Formel, Einheit, Quelle, Betriebsphase, Interpretationsrichtung und Aussagegrenze.</w:t>
      </w:r>
    </w:p>
    <w:p>
      <w:pPr>
        <w:pStyle w:val="ListBullet"/>
      </w:pPr>
      <w:r>
        <w:t>Tooltip-/Info-Mechanismus für Desktop und Touch: Mouse-over, wo verfügbar, plus gleichwertiger Info-Tap für mobile Geräte.</w:t>
      </w:r>
    </w:p>
    <w:p>
      <w:pPr>
        <w:pStyle w:val="ListBullet"/>
      </w:pPr>
      <w:r>
        <w:t>Überarbeitung der Zell-Detailansicht: phasenbezogene Evidenzübersicht vor den Zeitreihen; gültige Messpunktzahl und Confidence pro Phase sichtbar.</w:t>
      </w:r>
    </w:p>
    <w:p>
      <w:pPr>
        <w:pStyle w:val="ListBullet"/>
      </w:pPr>
      <w:r>
        <w:t>Überarbeitung der ΔV-Charts mit Achseneinheiten, 0-mV-Referenz, Betriebsphasenkontext und reichhaltigem Datenpunkt-Tooltip.</w:t>
      </w:r>
    </w:p>
    <w:p>
      <w:pPr>
        <w:pStyle w:val="ListBullet"/>
      </w:pPr>
      <w:r>
        <w:t>Keine Änderung historischer Rohdaten; neue UI-Metadaten und Visualisierung müssen rückwärtskompatibel auf den bereits seit 0.4.2 gesammelten Messdaten arbeiten.</w:t>
      </w:r>
    </w:p>
    <w:p>
      <w:pPr>
        <w:pStyle w:val="ListBullet"/>
      </w:pPr>
      <w:r>
        <w:t>Regressionstest: bestehende Health Engine, Pylontech-SOH, Alarm-/Incident-Logik und MQTT-Discovery bleiben funktional getrennt und unverändert.</w:t>
      </w:r>
    </w:p>
    <w:p>
      <w:pPr/>
      <w:r>
        <w:t>Abnahmekriterium: Ein technisch versierter Anwender muss jeden sichtbaren Diagnosewert ohne Quellcodekenntnis korrekt beantworten können: Was wird gemessen/berechnet? In welcher Einheit? Aus welchen Daten? In welcher Betriebsphase? Was bedeutet das Vorzeichen bzw. der Rang? Wie belastbar ist der Befund? Welche Schlussfolgerung ist ausdrücklich nicht zulässig?</w:t>
      </w:r>
    </w:p>
    <w:p>
      <w:pPr>
        <w:pStyle w:val="Heading1"/>
      </w:pPr>
      <w:r>
        <w:t>14. Entwicklungsreihenfolge</w:t>
      </w:r>
    </w:p>
    <w:p>
      <w:pPr>
        <w:pStyle w:val="ListNumber"/>
      </w:pPr>
      <w:r>
        <w:t>Phase 1: Datenerfassung über bat, Speicherung der 15 Zellspannungen, robuste Phase-Resolved Voltage Consistency sowie Persistenzkennwerte und Langzeittrend.</w:t>
      </w:r>
    </w:p>
    <w:p>
      <w:pPr>
        <w:pStyle w:val="ListNumber"/>
      </w:pPr>
      <w:r>
        <w:t>Phase 2: Explainable-Diagnostics-UI-Härtung: vollständige Einheiten, Parameter-Metadaten, Mouse-over/Info-Tap, phasenbezogene Evidenzübersicht und verständliche ΔV-Zeitreihen mit Phasenkontext.</w:t>
      </w:r>
    </w:p>
    <w:p>
      <w:pPr>
        <w:pStyle w:val="ListNumber"/>
      </w:pPr>
      <w:r>
        <w:t>Phase 3: Härtung der Phasenerkennung, methodenspezifische Phasen-Evidenz und Aufbau einer Aggregations-/Downsampling-Schicht für Tages-, Phasen- und Zykluskennwerte.</w:t>
      </w:r>
    </w:p>
    <w:p>
      <w:pPr>
        <w:pStyle w:val="ListNumber"/>
      </w:pPr>
      <w:r>
        <w:t>Phase 4: Digitales Wartungsbuch inklusive Timeline-Markern und standardisierter Vorher-/Nachher-Auswertung manueller Balancing- und Serviceeingriffe.</w:t>
      </w:r>
    </w:p>
    <w:p>
      <w:pPr>
        <w:pStyle w:val="ListNumber"/>
      </w:pPr>
      <w:r>
        <w:t>Phase 5: Dynamic Resistance Analysis mit Quality Gate und automatischer Erkennung geeigneter Lastwechsel.</w:t>
      </w:r>
    </w:p>
    <w:p>
      <w:pPr>
        <w:pStyle w:val="ListNumber"/>
      </w:pPr>
      <w:r>
        <w:t>Phase 6: Capacity Consistency und Charge/Discharge Curve Analysis.</w:t>
      </w:r>
    </w:p>
    <w:p>
      <w:pPr>
        <w:pStyle w:val="ListNumber"/>
      </w:pPr>
      <w:r>
        <w:t>Phase 7: Rest-/Driftanalyse sowie Ausbau der Langzeittrend-Erkennung.</w:t>
      </w:r>
    </w:p>
    <w:p>
      <w:pPr>
        <w:pStyle w:val="ListNumber"/>
      </w:pPr>
      <w:r>
        <w:t>Phase 8: Prüfung der real erreichten Datenqualität; anschließend nur wenn technisch gerechtfertigt ICA/DVA mit expliziter Begründung bei „NICHT BEWERTBAR“.</w:t>
      </w:r>
    </w:p>
    <w:p>
      <w:pPr>
        <w:pStyle w:val="ListNumber"/>
      </w:pPr>
      <w:r>
        <w:t>Phase 9: Übernahme derselben Diagnose-Engine in Guardian Battery Inspector; Current Condition, Trend und Maintenance Risk werden getrennt ausgewiesen und über längere Zeiträume validiert.</w:t>
      </w:r>
    </w:p>
    <w:p>
      <w:pPr>
        <w:pStyle w:val="ListNumber"/>
      </w:pPr>
      <w:r>
        <w:t>Phase 10: Aufbau der Outcome-Validierung: Prognosen, Wartungsmaßnahmen und tatsächliche spätere Ereignisse werden systematisch miteinander verknüpft.</w:t>
      </w:r>
    </w:p>
    <w:p>
      <w:pPr>
        <w:pStyle w:val="ListNumber"/>
      </w:pPr>
      <w:r>
        <w:t>Phase 11: Guardian-xMS-Pilot für freiwillige pseudonymisierte Kohortenanalyse und Benchmarking; produktive Risikomodelle erst nach dokumentierter Validierung.</w:t>
      </w:r>
    </w:p>
    <w:p>
      <w:pPr>
        <w:pStyle w:val="Heading1"/>
      </w:pPr>
      <w:r>
        <w:t>15. Implementierungsstand / Baseline</w:t>
      </w:r>
    </w:p>
    <w:p>
      <w:pPr/>
      <w:r>
        <w:t>Guardian Battery 0.4.2 bildet die Phase-1-Baseline: reale bat-&lt;module&gt;-Erfassung, Speicherung der Zellmessungen, phasenbezogene Cell-Voltage-Consistency, Status/Confidence sowie MQTT-Veröffentlichung der Einzelzellbefunde. Die nachfolgenden Verfahren sind als Entwicklungsstufen definiert und dürfen im UI nur dann als bewertet erscheinen, wenn ihre jeweiligen Datenqualitätskriterien erfüllt sind.</w:t>
      </w:r>
    </w:p>
    <w:p>
      <w:pPr>
        <w:pStyle w:val="Heading1"/>
      </w:pPr>
      <w:r>
        <w:t>16. Übergeordnetes Designprinzip</w:t>
      </w:r>
    </w:p>
    <w:p>
      <w:pPr>
        <w:ind w:left="454"/>
      </w:pPr>
      <w:r>
        <w:t>Guardian Cell Diagnostics soll nicht versuchen, aus einer einzelnen Zellspannung oder einem einzelnen Ereignis auf den Gesundheitszustand einer LiFePO₄-Zelle zu schließen. Die Diagnose basiert auf phasenabhängiger Zellkonsistenz, dynamischer Spannungsantwort, Kapazitätsindikatoren, Kurvenverhalten, Relaxation, langfristiger Drift und dokumentiertem Wartungskontext. Current Condition, Trend, Risk und Confidence werden getrennt ausgewiesen. Herstellerwerte und Guardian-Bewertungen bleiben strikt getrennt. Die langfristige Zielsetzung ist eine evidenzbasierte Predictive-Maintenance-Logik, deren Regeln aus Fachliteratur, transparenten Engineering-Hypothesen und real validierten Feldverläufen nachvollziehbar entstehen.</w:t>
      </w:r>
    </w:p>
    <w:p>
      <w:pPr/>
      <w:r>
        <w:t>Änderungsstand v1.3: Design Request v1.2 vollständig fortgeführt und um die Erkenntnisse aus der praktischen 0.4.2-Dashboard-Auswertung ergänzt: Explainable Diagnostics by Design, verbindliche Einheiten- und Parameter-Metadaten, Mouse-over/Info-Tap, phasenspezifische Evidenz vor Zeitreiheninterpretation, verständliche ΔV-Charts mit 0-mV-Referenz und Betriebsphasenkontext sowie ein konkretes nächstes UI-Härtungs-Arbeitspaket vor Ausbau weiterer Diagnoseverfahren.</w:t>
      </w:r>
    </w:p>
    <w:p>
      <w:r>
        <w:br w:type="page"/>
      </w:r>
    </w:p>
    <w:p>
      <w:pPr>
        <w:pStyle w:val="Heading1"/>
      </w:pPr>
      <w:r>
        <w:t>17. UI Design-Festlegung: Phasenbezogene Evidenz</w:t>
      </w:r>
    </w:p>
    <w:p>
      <w:r>
        <w:t>Verbindliche UI-Referenz für die Zell-Detailansicht. Die folgende Skizze wird exakt als Designvorgabe übernommen. Sie konkretisiert die in v1.3 geforderte phasenbezogene Evidenzübersicht vor der Zeitreiheninterpretation.</w:t>
      </w:r>
    </w:p>
    <w:p>
      <w:r>
        <w:rPr>
          <w:b/>
        </w:rPr>
        <w:t>Verbindliche Reihenfolge der Phasen:</w:t>
      </w:r>
    </w:p>
    <w:p>
      <w:r>
        <w:t>1. High-SOC</w:t>
      </w:r>
    </w:p>
    <w:p>
      <w:r>
        <w:t>2. Entladung</w:t>
      </w:r>
    </w:p>
    <w:p>
      <w:r>
        <w:t>3. Low-SOC</w:t>
      </w:r>
    </w:p>
    <w:p>
      <w:r>
        <w:t>4. Ladung</w:t>
      </w:r>
    </w:p>
    <w:p>
      <w:r>
        <w:rPr>
          <w:b/>
        </w:rPr>
        <w:t xml:space="preserve">Benennung: </w:t>
      </w:r>
      <w:r>
        <w:t>Die UI-Bezeichnungen lauten künftig „High-SOC“ und „Low-SOC“. Die bisherigen Begriffe „Hochbereich“ und „Tiefbereich“ dienen höchstens als erklärender Zusatz und nicht mehr als primäre Phasenbezeichnung.</w:t>
      </w:r>
    </w:p>
    <w:p>
      <w:r>
        <w:rPr>
          <w:b/>
        </w:rPr>
        <w:t xml:space="preserve">Darstellungsprinzip: </w:t>
      </w:r>
      <w:r>
        <w:t>Kennzahlen, Einheiten, gültige Messpunkte und Interpretation bleiben erklärbar und phasenbezogen. Die Skizze legt die visuelle Hierarchie, Reihenfolge, Farbcodierung und Informationsdichte fest; sie ändert keine Diagnoseformel, keinen Grenzwert und keine gespeicherten Rohdaten.</w:t>
      </w:r>
    </w:p>
    <w:p>
      <w:r>
        <w:br w:type="page"/>
      </w:r>
    </w:p>
    <w:p>
      <w:pPr>
        <w:jc w:val="center"/>
      </w:pPr>
      <w:r>
        <w:drawing>
          <wp:inline xmlns:a="http://schemas.openxmlformats.org/drawingml/2006/main" xmlns:pic="http://schemas.openxmlformats.org/drawingml/2006/picture">
            <wp:extent cx="3606409" cy="7818120"/>
            <wp:docPr id="1" name="Picture 1"/>
            <wp:cNvGraphicFramePr>
              <a:graphicFrameLocks noChangeAspect="1"/>
            </wp:cNvGraphicFramePr>
            <a:graphic>
              <a:graphicData uri="http://schemas.openxmlformats.org/drawingml/2006/picture">
                <pic:pic>
                  <pic:nvPicPr>
                    <pic:cNvPr id="0" name="a_clean_smartphone_app_screenshot_ui_mockup._ove.png"/>
                    <pic:cNvPicPr/>
                  </pic:nvPicPr>
                  <pic:blipFill>
                    <a:blip r:embed="rId11"/>
                    <a:stretch>
                      <a:fillRect/>
                    </a:stretch>
                  </pic:blipFill>
                  <pic:spPr>
                    <a:xfrm>
                      <a:off x="0" y="0"/>
                      <a:ext cx="3606409" cy="7818120"/>
                    </a:xfrm>
                    <a:prstGeom prst="rect"/>
                  </pic:spPr>
                </pic:pic>
              </a:graphicData>
            </a:graphic>
          </wp:inline>
        </w:drawing>
      </w:r>
    </w:p>
    <w:p>
      <w:pPr>
        <w:jc w:val="center"/>
      </w:pPr>
      <w:r>
        <w:rPr>
          <w:i/>
        </w:rPr>
        <w:t>Abbildung: Verbindliche Designskizze „Phasenbezogene Evidenz“ – Reihenfolge High-SOC → Entladung → Low-SOC → Ladung.</w:t>
      </w:r>
    </w:p>
    <w:p>
      <w:r>
        <w:rPr>
          <w:b/>
        </w:rPr>
        <w:t xml:space="preserve">Änderungsstand v1.4: </w:t>
      </w:r>
      <w:r>
        <w:t>Design Request v1.3 vollständig fortgeführt. Ergänzt wurde ausschließlich die verbindliche UI-Referenz für die phasenbezogene Evidenzansicht mit den Bezeichnungen Low-SOC/High-SOC und der festgelegten Reihenfolge High-SOC, Entladung, Low-SOC, Ladung.</w:t>
      </w:r>
    </w:p>
    <w:p>
      <w:r>
        <w:br w:type="page"/>
      </w:r>
    </w:p>
    <w:p>
      <w:pPr>
        <w:pStyle w:val="Heading1"/>
      </w:pPr>
      <w:r>
        <w:t>18. Konfigurierbare Modulanzahl und Verfügbarkeitslogik</w:t>
      </w:r>
    </w:p>
    <w:p>
      <w:r>
        <w:t>Die Anzahl der tatsächlich installierten Batteriemodule ist als explizit konfigurierbarer Systemparameter zu führen. Guardian darf nicht pauschal von sechs vorhandenen Modulen ausgehen.</w:t>
      </w:r>
    </w:p>
    <w:p>
      <w:r>
        <w:rPr>
          <w:b/>
        </w:rPr>
        <w:t xml:space="preserve">Konfigurationsanforderung: </w:t>
      </w:r>
      <w:r>
        <w:t>Im Guardian-Konfigurationsmenü wird die Anzahl der vorhandenen Module über den Parameter „Modulanzahl“ bzw. den bestehenden Parameter „module_count“ eingestellt. Die zulässige Konfiguration umfasst die tatsächlich unterstützte Modulanzahl des Systems; für die aktuelle Guardian-Battery-Auslegung sind bis zu sechs Module vorgesehen.</w:t>
      </w:r>
    </w:p>
    <w:p>
      <w:r>
        <w:rPr>
          <w:b/>
        </w:rPr>
        <w:t xml:space="preserve">Verbindliche Laufzeitlogik: </w:t>
      </w:r>
      <w:r>
        <w:t>Nur Module mit einer Modulnummer innerhalb der konfigurierten Modulanzahl gelten als erwartet. Für Module oberhalb dieser Grenze dürfen fehlende Messwerte, nicht vorhandene MQTT-Entities oder ausbleibende serielle Daten weder als Fehler noch als Alarm „module_missing“ bewertet werden.</w:t>
      </w:r>
    </w:p>
    <w:p>
      <w:r>
        <w:rPr>
          <w:b/>
        </w:rPr>
        <w:t xml:space="preserve">Beispiel: </w:t>
      </w:r>
      <w:r>
        <w:t>Bei module_count = 5 werden ausschließlich Module 1 bis 5 überwacht. Ein nicht vorhandenes Modul 6 ist dann ein regulärer Systemzustand und darf weder die Gesamtbewertung verschlechtern noch einen kritischen Alarm oder eine Datenqualitätswarnung erzeugen.</w:t>
      </w:r>
    </w:p>
    <w:p>
      <w:r>
        <w:rPr>
          <w:b/>
        </w:rPr>
        <w:t xml:space="preserve">UI- und Diagnosekonsistenz: </w:t>
      </w:r>
      <w:r>
        <w:t>Dashboard, Übersichten, Diagnostik, History, Maintenance-Logbuch, Inspector und spätere Reports verwenden dieselbe konfigurierte Modulanzahl. Nicht konfigurierte Module werden nicht als „unavailable“ oder „fehlerhaft“ dargestellt, sondern gelten als nicht Bestandteil der Anlage.</w:t>
      </w:r>
    </w:p>
    <w:p>
      <w:r>
        <w:rPr>
          <w:b/>
        </w:rPr>
        <w:t xml:space="preserve">Änderungsstand v1.5: </w:t>
      </w:r>
      <w:r>
        <w:t>Design Request v1.4 vollständig fortgeführt. Ergänzt wurde die konfigurierbare Modulanzahl als verbindliche Systemvorgabe einschließlich der Regel, dass nicht konfigurierte Module keine Fehler-, Alarm- oder Datenqualitätsmeldungen auslösen dürfen.</w:t>
      </w:r>
    </w:p>
    <w:p>
      <w:r>
        <w:br w:type="page"/>
      </w:r>
    </w:p>
    <w:p>
      <w:pPr>
        <w:pStyle w:val="Heading1"/>
      </w:pPr>
      <w:r>
        <w:t>19. Historische Ranking-Drift einzelner Zellen</w:t>
      </w:r>
    </w:p>
    <w:p>
      <w:r>
        <w:t>Guardian soll aus den historischen Einzelzellmessungen eine phasenbezogene zeitliche Entwicklung der Rangposition jeder Zelle ableiten. Ziel ist nicht die Bewertung eines einzelnen Rangwechsels, sondern die Erkennung einer gerichteten und über einen ausreichend langen Zeitraum persistenten Veränderung der relativen Zellposition innerhalb eines Moduls.</w:t>
      </w:r>
    </w:p>
    <w:p>
      <w:r>
        <w:rPr>
          <w:b/>
        </w:rPr>
        <w:t xml:space="preserve">Phasenbezug: </w:t>
      </w:r>
      <w:r>
        <w:t>Die Ranking-Drift wird getrennt für die vier verbindlichen Evidenzphasen High-SOC, Entladung, Low-SOC und Ladung berechnet und dargestellt. Rangwerte unterschiedlicher Betriebsphasen dürfen nicht zu einem einzigen ungewichteten Gesamtrang vermischt werden.</w:t>
      </w:r>
    </w:p>
    <w:p>
      <w:r>
        <w:rPr>
          <w:b/>
        </w:rPr>
        <w:t xml:space="preserve">Zu verfolgende Kennwerte: </w:t>
      </w:r>
      <w:r>
        <w:t>Mindestens mittlerer Rang innerhalb der 15 Zellen, Abweichung vom Modulmedian, Lowest-/Highest-Anteil, gültige Messpunktzahl und zeitliche Persistenz der Rangposition. Soweit möglich sollen Tages-, Phasen- oder Zyklusaggregate verwendet werden, damit Langzeittrends nicht durch einzelne Messpunkte dominiert werden.</w:t>
      </w:r>
    </w:p>
    <w:p>
      <w:r>
        <w:rPr>
          <w:b/>
        </w:rPr>
        <w:t xml:space="preserve">Interpretation: </w:t>
      </w:r>
      <w:r>
        <w:t>Eine dauerhaft schwache Rangposition ist von einer sich verschlechternden Rangposition zu unterscheiden. Besonders relevant ist eine gerichtete Ranking-Drift, wenn sie gleichzeitig mit einer zunehmenden phasenspezifischen Medianabweichung oder einer steigenden Persistenz als Lowest-/Highest-Zelle auftritt.</w:t>
      </w:r>
    </w:p>
    <w:p>
      <w:r>
        <w:rPr>
          <w:b/>
        </w:rPr>
        <w:t xml:space="preserve">UI-Anforderung: </w:t>
      </w:r>
      <w:r>
        <w:t>Die Zell-Detailansicht soll je Phase einen verständlichen Rangtrend ausweisen, beispielsweise als Verlauf des mittleren Rangs über definierte Zeitfenster. Zeitraum, Datenabdeckung und Confidence müssen sichtbar sein. Ein einzelner Rangwechsel darf nicht als Verschlechterung oder Defekt bezeichnet werden.</w:t>
      </w:r>
    </w:p>
    <w:p>
      <w:r>
        <w:rPr>
          <w:b/>
        </w:rPr>
        <w:t xml:space="preserve">Alarm- und Evidenzstatus: </w:t>
      </w:r>
      <w:r>
        <w:t>Ranking-Drift wird zunächst als zusätzliche diagnostische Evidenz eingeführt und nicht unmittelbar als eigenständiger Alarm. Schwellenwerte für Trendstärke, Mindestdauer und Mindestdatenmenge müssen vor einer alarmierenden Bewertung empirisch validiert und versioniert werden.</w:t>
      </w:r>
    </w:p>
    <w:p>
      <w:r>
        <w:rPr>
          <w:b/>
        </w:rPr>
        <w:t xml:space="preserve">Predictive-Maintenance-Bezug: </w:t>
      </w:r>
      <w:r>
        <w:t>Die historische Ranking-Drift dient als zusätzlicher Langzeitindikator für die spätere Predictive-Maintenance-Logik. Sie ist gemeinsam mit anderen Evidenzen wie Spannungskonsistenz, dynamischer Antwort, Kapazitätsindikatoren, Relaxation und dokumentierten Wartungsereignissen zu interpretieren und darf nicht allein als Nachweis eines Zelldefekts verwendet werden.</w:t>
      </w:r>
    </w:p>
    <w:p>
      <w:r>
        <w:rPr>
          <w:b/>
        </w:rPr>
        <w:t xml:space="preserve">Datengrundlage und Rückwärtskompatibilität: </w:t>
      </w:r>
      <w:r>
        <w:t>Die Auswertung soll auf den bereits gespeicherten historischen Einzelzellmessungen aufbauen. Neue Rangaggregate dürfen ergänzend erzeugt werden, ohne bestehende Rohdaten zu verändern. Mit wachsender Historie steigt die Belastbarkeit; bei unzureichender Datenabdeckung ist der Trend als nicht bzw. nur eingeschränkt bewertbar auszuweisen.</w:t>
      </w:r>
    </w:p>
    <w:p>
      <w:r>
        <w:rPr>
          <w:b/>
        </w:rPr>
        <w:t xml:space="preserve">Änderungsstand v1.6: </w:t>
      </w:r>
      <w:r>
        <w:t>Design Request v1.5 vollständig fortgeführt. Ergänzt wurde die phasenbezogene historische Ranking-Drift einzelner Zellen als zusätzliche Explainable-Diagnostics- und Predictive-Maintenance-Evidenz.</w:t>
      </w:r>
    </w:p>
    <w:p>
      <w:r>
        <w:br w:type="page"/>
      </w:r>
    </w:p>
    <w:p>
      <w:pPr>
        <w:pStyle w:val="Heading1"/>
      </w:pPr>
      <w:r>
        <w:t>20. Versionierte Diagnosekonfiguration und retrospektive Neubewertung</w:t>
      </w:r>
    </w:p>
    <w:p>
      <w:r>
        <w:t>Historische Einzelzell-Rohdaten bleiben die maßgebliche, unveränderte Evidenzbasis. Guardian muss zusätzlich Änderungen aller für Phasenzuordnung und diagnostische Bewertung relevanten Konfigurationsparameter zeitlich nachvollziehbar und versioniert erfassen.</w:t>
      </w:r>
    </w:p>
    <w:p>
      <w:r>
        <w:rPr>
          <w:b/>
        </w:rPr>
        <w:t xml:space="preserve">Konfigurationshistorie: </w:t>
      </w:r>
      <w:r>
        <w:t>Bei einer relevanten Konfigurationsänderung wird ein versionierter Konfigurationsstand mit Gültigkeitszeitpunkt gespeichert. Er muss mindestens die Diagnostic-Engine-/Modellversion, eine eindeutige Config-ID bzw. Parametersatzversion und die für Phasenerkennung und Evidenzbewertung maßgeblichen Parameter enthalten.</w:t>
      </w:r>
    </w:p>
    <w:p>
      <w:r>
        <w:rPr>
          <w:b/>
        </w:rPr>
        <w:t xml:space="preserve">Keine unnötige Duplizierung: </w:t>
      </w:r>
      <w:r>
        <w:t>Der vollständige Parametersatz muss nicht in jedem historischen Messsample wiederholt werden. Die Rohsamples bleiben append-only; die Konfigurationshistorie wird separat als versionierte Zeitachse geführt und kann über Zeitstempel bzw. Config-ID eindeutig zugeordnet werden.</w:t>
      </w:r>
    </w:p>
    <w:p>
      <w:r>
        <w:rPr>
          <w:b/>
        </w:rPr>
        <w:t xml:space="preserve">As-was-Modus: </w:t>
      </w:r>
      <w:r>
        <w:t>Eine historische Bewertung muss mit dem zum jeweiligen Messzeitpunkt gültigen Parametersatz reproduzierbar sein. Dadurch bleibt nachvollziehbar, warum Guardian zu einem damaligen Zeitpunkt eine bestimmte Phasenzuordnung, Evidenz oder Bewertung erzeugt hat.</w:t>
      </w:r>
    </w:p>
    <w:p>
      <w:r>
        <w:rPr>
          <w:b/>
        </w:rPr>
        <w:t xml:space="preserve">As-now-Modus: </w:t>
      </w:r>
      <w:r>
        <w:t>Dieselben unveränderten historischen Rohdaten müssen alternativ mit der aktuell gültigen Diagnostic Engine und dem aktuellen Parametersatz neu bewertet werden können. Dadurch lassen sich verbesserte Phasengrenzen, Ranking-Drift-Verfahren und zukünftige Diagnosemethoden rückwirkend auf bereits vorhandene Messhistorie anwenden.</w:t>
      </w:r>
    </w:p>
    <w:p>
      <w:r>
        <w:rPr>
          <w:b/>
        </w:rPr>
        <w:t xml:space="preserve">Reproduzierbarkeit und Provenienz: </w:t>
      </w:r>
      <w:r>
        <w:t>Jedes aus historischen Daten erzeugte Diagnoseergebnis muss erkennen lassen, welche Diagnostic-Engine-Version, welcher Parametersatz und welcher Bewertungsmodus (As-was oder As-now) verwendet wurden. Rohdaten dürfen durch eine Neubewertung niemals verändert werden.</w:t>
      </w:r>
    </w:p>
    <w:p>
      <w:r>
        <w:rPr>
          <w:b/>
        </w:rPr>
        <w:t xml:space="preserve">Bezug zur KI-Integration: </w:t>
      </w:r>
      <w:r>
        <w:t>Phasenzuordnung, Ranking, Ranking-Drift und andere reproduzierbare Evidenzberechnungen bleiben Aufgabe der deterministischen Guardian-Diagnose-Engine. Eine externe KI darf die daraus bereitgestellte Evidenz erklären, zusammenfassen, korrelieren und priorisieren, aber nicht die maßgebliche historische Berechnung oder deren Provenienz ersetzen.</w:t>
      </w:r>
    </w:p>
    <w:p>
      <w:r>
        <w:rPr>
          <w:b/>
        </w:rPr>
        <w:t xml:space="preserve">Änderungsstand v1.7: </w:t>
      </w:r>
      <w:r>
        <w:t>Design Request v1.6 vollständig fortgeführt. Ergänzt wurden die versionierte Diagnosekonfiguration sowie die reproduzierbare retrospektive Bewertung historischer Rohdaten im As-was- und As-now-Modus.</w:t>
      </w:r>
    </w:p>
    <w:p>
      <w:r>
        <w:br w:type="page"/>
      </w:r>
    </w:p>
    <w:p>
      <w:pPr>
        <w:pStyle w:val="Heading1"/>
      </w:pPr>
      <w:r>
        <w:t>21. Future Diagnostic Data Readiness und ereignisbasierte Hochauflösung</w:t>
      </w:r>
    </w:p>
    <w:p>
      <w:r>
        <w:t>Guardian muss die historische Rohdatenerfassung so auslegen, dass zukünftig geplante Diagnoseverfahren soweit technisch möglich rückwirkend aus bereits gesammelten Daten berechnet werden können. Die normale Langzeit-History bleibt dabei die primäre append-only Evidenzbasis; für Verfahren mit höherer zeitlicher Anforderung wird sie durch eine gezielte ereignisbasierte Rohdatenerfassung ergänzt.</w:t>
      </w:r>
    </w:p>
    <w:p>
      <w:r>
        <w:rPr>
          <w:b/>
        </w:rPr>
        <w:t xml:space="preserve">Normal History: </w:t>
      </w:r>
      <w:r>
        <w:t>Die bestehende Zell-History erfasst weiterhin Zeitstempel, Modulzuordnung, Einzelzellspannungen, Modulstrom, SOC, Zelltemperaturen und Balancingstatus. Sie dient insbesondere Ranking-Drift, phasenspezifischer Neubewertung, Langzeittrends und langsameren Relaxations-/Driftanalysen.</w:t>
      </w:r>
    </w:p>
    <w:p>
      <w:r>
        <w:rPr>
          <w:b/>
        </w:rPr>
        <w:t xml:space="preserve">Diagnostic Event Capture: </w:t>
      </w:r>
      <w:r>
        <w:t>Zusätzlich ist eine zweite, ereignisbasierte Erfassungsebene vorzusehen. Bei diagnostisch relevanten Zustandsänderungen werden zeitlich höher aufgelöste Rohdatenfenster gespeichert, anstatt die gesamte Langzeit-History dauerhaft mit hoher Frequenz aufzuzeichnen.</w:t>
      </w:r>
    </w:p>
    <w:p>
      <w:r>
        <w:rPr>
          <w:b/>
        </w:rPr>
        <w:t xml:space="preserve">Relevante Ereignisse: </w:t>
      </w:r>
      <w:r>
        <w:t>Dazu gehören insbesondere ausreichend große Stromänderungen bzw. Lastsprünge (ΔI), Übergänge von Last in einen Ruhe-/Relaxationszustand sowie geeignete zusammenhängende Lade- und Entladeabschnitte. Vor- und Nachlauf des Ereignisses müssen so gewählt werden, dass die dynamische Spannungsantwort rekonstruierbar bleibt.</w:t>
      </w:r>
    </w:p>
    <w:p>
      <w:r>
        <w:rPr>
          <w:b/>
        </w:rPr>
        <w:t xml:space="preserve">Dynamic Resistance: </w:t>
      </w:r>
      <w:r>
        <w:t>Für eine spätere deterministische Bestimmung dynamischer Widerstandsindikatoren müssen Einzelzellspannung und Strom rund um Lastsprünge ausreichend synchron und zeitlich dicht erfasst werden. Die normale History allein darf nicht als garantiert ausreichend für Dynamic-Resistance-Auswertungen betrachtet werden.</w:t>
      </w:r>
    </w:p>
    <w:p>
      <w:r>
        <w:rPr>
          <w:b/>
        </w:rPr>
        <w:t xml:space="preserve">Relaxation und Drift: </w:t>
      </w:r>
      <w:r>
        <w:t>Langsame Relaxations- und Driftanteile können auf der normalen History aufbauen. Für die frühe Spannungsrelaxation nach Lastende sollen geeignete Ereignisfenster mit dichterem Sampling vorgesehen werden. SOC, Temperatur und Reststrom sind als Kontext zu erhalten.</w:t>
      </w:r>
    </w:p>
    <w:p>
      <w:r>
        <w:rPr>
          <w:b/>
        </w:rPr>
        <w:t xml:space="preserve">Capacity Consistency: </w:t>
      </w:r>
      <w:r>
        <w:t>Kapazitätsbezogene Konsistenzanalysen sollen auf zusammenhängenden Lade-/Entladeepisoden, Strom-Zeit-Integration (Coulomb Counting), SOC-, Spannungs- und Temperaturverlauf aufbauen. Datenlücken und unvollständige Episoden müssen als Qualitätsmerkmal erfasst werden; BMS-SOC darf nicht mit direkt gemessener Zellkapazität gleichgesetzt werden.</w:t>
      </w:r>
    </w:p>
    <w:p>
      <w:r>
        <w:rPr>
          <w:b/>
        </w:rPr>
        <w:t xml:space="preserve">ICA/DVA: </w:t>
      </w:r>
      <w:r>
        <w:t>ICA/DVA bleibt ein zukünftiges Diagnoseverfahren mit erhöhten Anforderungen an Auflösung, Datenqualität und Eignung der Lade-/Entladeabschnitte. Normale Betriebsdaten dürfen nicht automatisch als ICA/DVA-tauglich bewertet werden. Guardian soll geeignete Segmente und deren Qualität kennzeichnen und die hierfür erforderliche Datenerfassung bei späterer Implementierung gezielt erweitern.</w:t>
      </w:r>
    </w:p>
    <w:p>
      <w:r>
        <w:rPr>
          <w:b/>
        </w:rPr>
        <w:t xml:space="preserve">Metadaten und Provenienz: </w:t>
      </w:r>
      <w:r>
        <w:t>Jedes hochauflösende Ereignisfenster muss mindestens Ereignistyp, Start-/Endzeit, Sampling- bzw. Zeitabstände, Modul, relevante Rohgrößen, Datenqualitäts-/Lückeninformation sowie die gültige Diagnostic-Engine- und Konfigurationsversion referenzieren. Rohdaten bleiben unverändert.</w:t>
      </w:r>
    </w:p>
    <w:p>
      <w:r>
        <w:rPr>
          <w:b/>
        </w:rPr>
        <w:t xml:space="preserve">Speicher- und Performanceprinzip: </w:t>
      </w:r>
      <w:r>
        <w:t>Hochauflösende Erfassung erfolgt gezielt und ereignisbasiert. Eine permanente hochfrequente Speicherung aller Zellkanäle ist nicht erforderlich, sofern Ringpuffer bzw. Vorlaufmechanismen diagnostisch relevante Ereignisse vollständig erfassen. Aufbewahrungs-, Größen- und Bereinigungsregeln müssen konfigurierbar und nachvollziehbar sein.</w:t>
      </w:r>
    </w:p>
    <w:p>
      <w:r>
        <w:rPr>
          <w:b/>
        </w:rPr>
        <w:t xml:space="preserve">Deterministische Auswertung und KI-Grenze: </w:t>
      </w:r>
      <w:r>
        <w:t>Dynamic Resistance, Relaxation, Capacity Consistency, Ranking-Drift und spätere ICA/DVA-Kennwerte werden aus der gespeicherten Evidenz durch versionierte, reproduzierbare Guardian-Algorithmen berechnet. Eine externe KI darf Ergebnisse erklären, korrelieren und priorisieren, ersetzt jedoch weder Rohdatenerfassung noch die maßgebliche Berechnung.</w:t>
      </w:r>
    </w:p>
    <w:p>
      <w:r>
        <w:rPr>
          <w:b/>
        </w:rPr>
        <w:t xml:space="preserve">Änderungsstand v1.8: </w:t>
      </w:r>
      <w:r>
        <w:t>Design Request v1.7 vollständig fortgeführt. Ergänzt wurde Future Diagnostic Data Readiness mit normaler Langzeit-History und ereignisbasierter hochauflösender Erfassung als Datenbasis für Dynamic Resistance, Relaxation/Drift, Capacity Consistency und zukünftige ICA/DVA-Verfahren.</w:t>
      </w:r>
    </w:p>
    <w:p>
      <w:r>
        <w:br w:type="page"/>
      </w:r>
    </w:p>
    <w:p>
      <w:pPr>
        <w:pStyle w:val="Heading1"/>
      </w:pPr>
      <w:r>
        <w:t>22. Guardian Dashboard-Konfigurationsmenü</w:t>
      </w:r>
    </w:p>
    <w:p>
      <w:r>
        <w:t>Guardian benötigt zusätzlich zur bestehenden Add-on-/Backend-Konfiguration ein eigenes, anwenderorientiertes Konfigurationsmenü im Guardian-Dashboard. Dieses Menü ist die zentrale Bedienoberfläche für betriebs- und diagnosebezogene Parameter, die vom Anlagenbetreiber geändert werden dürfen.</w:t>
      </w:r>
    </w:p>
    <w:p>
      <w:r>
        <w:rPr>
          <w:b/>
        </w:rPr>
        <w:t xml:space="preserve">Soll-Konfiguration versus Auto-Discovery: </w:t>
      </w:r>
      <w:r>
        <w:t>Konfigurierte Anlagenparameter und automatisch erkannte Ist-Werte sind strikt zu trennen. Auto-Discovery darf Soll-Parameter nicht selbständig überschreiben. Abweichungen zwischen Soll und Ist bleiben diagnostisch relevant.</w:t>
      </w:r>
    </w:p>
    <w:p>
      <w:r>
        <w:rPr>
          <w:b/>
        </w:rPr>
        <w:t xml:space="preserve">Modulanzahl: </w:t>
      </w:r>
      <w:r>
        <w:t>Die Anzahl installierter Batteriemodule muss im Dashboard konfigurierbar sein. Der unterstützte Bereich beträgt 1 bis 6 Module. Dieser Wert beschreibt die Soll-Konfiguration der konkreten Anlage. Sind beispielsweise 5 Module konfiguriert und 5 erkannt, ist die Modulverfügbarkeit vollständig. Sind 6 Module konfiguriert und nur 5 erkannt, muss Guardian das fehlende Modul weiterhin als relevante Abweichung melden.</w:t>
      </w:r>
    </w:p>
    <w:p>
      <w:r>
        <w:rPr>
          <w:b/>
        </w:rPr>
        <w:t xml:space="preserve">Konfigurationsbereiche: </w:t>
      </w:r>
      <w:r>
        <w:t>Das Menü soll anwenderrelevante Parameter strukturiert darstellen, insbesondere Anlage, Zelldiagnostik, Phasenerkennung, Bewertungsgrenzen, History und Datenerfassung sowie später weitere Diagnose- und Maintenance-bezogene Einstellungen. Interne technische Optionen dürfen nicht ungefiltert als Benutzerparameter dargestellt werden.</w:t>
      </w:r>
    </w:p>
    <w:p>
      <w:r>
        <w:rPr>
          <w:b/>
        </w:rPr>
        <w:t xml:space="preserve">Persistenz und Validierung: </w:t>
      </w:r>
      <w:r>
        <w:t>Änderungen aus dem Dashboard müssen persistent in die Guardian-Konfiguration übernommen, gegen zulässige Wertebereiche validiert und nach erfolgreicher Übernahme eindeutig bestätigt werden. Ungültige oder unvollständige Einstellungen dürfen die letzte gültige Konfiguration nicht zerstören.</w:t>
      </w:r>
    </w:p>
    <w:p>
      <w:r>
        <w:rPr>
          <w:b/>
        </w:rPr>
        <w:t xml:space="preserve">Versionierung und Provenienz: </w:t>
      </w:r>
      <w:r>
        <w:t>Jede diagnostisch relevante Änderung über das Dashboard-Konfigurationsmenü muss in die versionierte Konfigurationshistorie eingehen. Zeitpunkt, Config-ID/Parametersatzversion und die betroffenen Parameter müssen für spätere As-was- und As-now-Auswertungen nachvollziehbar bleiben.</w:t>
      </w:r>
    </w:p>
    <w:p>
      <w:r>
        <w:rPr>
          <w:b/>
        </w:rPr>
        <w:t xml:space="preserve">Trennung vom Maintenance-Logbuch: </w:t>
      </w:r>
      <w:r>
        <w:t>Das Konfigurationsmenü und das Maintenance-Logbuch sind getrennte Funktionen. Konfiguration beschreibt, wie Guardian und die Anlage diagnostisch parametrisiert sind; das Maintenance-Logbuch dokumentiert durchgeführte Arbeiten, Eingriffe, Austausch- und Serviceereignisse. Beide Funktionen sollen im Guardian-Dashboard erreichbar sein, dürfen aber semantisch und technisch nicht vermischt werden.</w:t>
      </w:r>
    </w:p>
    <w:p>
      <w:r>
        <w:rPr>
          <w:b/>
        </w:rPr>
        <w:t xml:space="preserve">Änderungsstand v1.9: </w:t>
      </w:r>
      <w:r>
        <w:t>Design Request v1.8 vollständig fortgeführt. Ergänzt wurde ein eigenes Guardian-Dashboard-Konfigurationsmenü einschließlich konfigurierbarer Soll-Modulanzahl (1–6), Trennung von Soll-Konfiguration und Auto-Discovery, Persistenz, Validierung und Einbindung in die versionierte Konfigurationshistorie.</w:t>
      </w:r>
    </w:p>
    <w:p>
      <w:pPr>
        <w:pStyle w:val="Heading1"/>
      </w:pPr>
      <w:r>
        <w:t>23. BMS- und Modul-Identitätsübersicht</w:t>
      </w:r>
    </w:p>
    <w:p>
      <w:r>
        <w:t>Guardian Battery erhält im Dashboard einen zusätzlichen Reiter „BMS / Modul-Identität“. Dieser Reiter stellt die vom Pylontech-BMS gelieferten Hersteller- und Identitätsinformationen für jedes erkannte bzw. konfigurierte Batteriemodul übersichtlich und vergleichbar dar. Die Ansicht ist ausdrücklich eine Hersteller-/Inventaransicht und kein Guardian-Diagnose-Score.</w:t>
      </w:r>
    </w:p>
    <w:p>
      <w:pPr>
        <w:pStyle w:val="Heading2"/>
      </w:pPr>
      <w:r>
        <w:t>Datenquelle und Modulbezug:</w:t>
      </w:r>
    </w:p>
    <w:p>
      <w:r>
        <w:t>Die Informationen werden modulbezogen über den Pylontech-Konsolenbefehl `info &lt;module&gt;` erfasst. Die Zuordnung muss über die vom BMS gemeldete Device Address und die eindeutige Barcode-/Serienkennung erhalten bleiben. Werte verschiedener Module dürfen nicht zu einem Anlagenwert zusammengefasst werden.</w:t>
      </w:r>
    </w:p>
    <w:p>
      <w:pPr>
        <w:pStyle w:val="Heading2"/>
      </w:pPr>
      <w:r>
        <w:t>Darzustellende Herstellerinformationen:</w:t>
      </w:r>
    </w:p>
    <w:p>
      <w:pPr>
        <w:pStyle w:val="ListBullet"/>
      </w:pPr>
      <w:r>
        <w:t>Device Address / Moduladresse</w:t>
      </w:r>
    </w:p>
    <w:p>
      <w:pPr>
        <w:pStyle w:val="ListBullet"/>
      </w:pPr>
      <w:r>
        <w:t>Manufacturer</w:t>
      </w:r>
    </w:p>
    <w:p>
      <w:pPr>
        <w:pStyle w:val="ListBullet"/>
      </w:pPr>
      <w:r>
        <w:t>Device Name / Modell</w:t>
      </w:r>
    </w:p>
    <w:p>
      <w:pPr>
        <w:pStyle w:val="ListBullet"/>
      </w:pPr>
      <w:r>
        <w:t>Barcode / eindeutige Serienkennung</w:t>
      </w:r>
    </w:p>
    <w:p>
      <w:pPr>
        <w:pStyle w:val="ListBullet"/>
      </w:pPr>
      <w:r>
        <w:t>Board Version</w:t>
      </w:r>
    </w:p>
    <w:p>
      <w:pPr>
        <w:pStyle w:val="ListBullet"/>
      </w:pPr>
      <w:r>
        <w:t>Board</w:t>
      </w:r>
    </w:p>
    <w:p>
      <w:pPr>
        <w:pStyle w:val="ListBullet"/>
      </w:pPr>
      <w:r>
        <w:t>Main Soft Version</w:t>
      </w:r>
    </w:p>
    <w:p>
      <w:pPr>
        <w:pStyle w:val="ListBullet"/>
      </w:pPr>
      <w:r>
        <w:t>Soft Version</w:t>
      </w:r>
    </w:p>
    <w:p>
      <w:pPr>
        <w:pStyle w:val="ListBullet"/>
      </w:pPr>
      <w:r>
        <w:t>Boot Version</w:t>
      </w:r>
    </w:p>
    <w:p>
      <w:pPr>
        <w:pStyle w:val="ListBullet"/>
      </w:pPr>
      <w:r>
        <w:t>Comm Version</w:t>
      </w:r>
    </w:p>
    <w:p>
      <w:pPr>
        <w:pStyle w:val="ListBullet"/>
      </w:pPr>
      <w:r>
        <w:t>Release Date</w:t>
      </w:r>
    </w:p>
    <w:p>
      <w:pPr>
        <w:pStyle w:val="ListBullet"/>
      </w:pPr>
      <w:r>
        <w:t>Specification</w:t>
      </w:r>
    </w:p>
    <w:p>
      <w:pPr>
        <w:pStyle w:val="ListBullet"/>
      </w:pPr>
      <w:r>
        <w:t>Cell Number</w:t>
      </w:r>
    </w:p>
    <w:p>
      <w:pPr>
        <w:pStyle w:val="ListBullet"/>
      </w:pPr>
      <w:r>
        <w:t>Max Charge Current</w:t>
      </w:r>
    </w:p>
    <w:p>
      <w:pPr>
        <w:pStyle w:val="ListBullet"/>
      </w:pPr>
      <w:r>
        <w:t>Max Discharge Current</w:t>
      </w:r>
    </w:p>
    <w:p>
      <w:pPr>
        <w:pStyle w:val="ListBullet"/>
      </w:pPr>
      <w:r>
        <w:t>EPON Port Rate</w:t>
      </w:r>
    </w:p>
    <w:p>
      <w:pPr>
        <w:pStyle w:val="ListBullet"/>
      </w:pPr>
      <w:r>
        <w:t>Console Port Rate</w:t>
      </w:r>
    </w:p>
    <w:p>
      <w:pPr>
        <w:pStyle w:val="Heading2"/>
      </w:pPr>
      <w:r>
        <w:t>Darstellung und Vergleich:</w:t>
      </w:r>
    </w:p>
    <w:p>
      <w:r>
        <w:t>Die Module sollen in einer kompakten Vergleichsansicht nebeneinander bzw. tabellarisch dargestellt werden. Firmware- und Hardwareabweichungen zwischen Modulen müssen ohne Detailnavigation erkennbar sein. Insbesondere Main Soft Version, Soft Version, Boot Version, Comm Version, Board/Board Version und Release Date sind als vergleichsrelevante Felder zu behandeln. Identische Werte dürfen visuell ruhig dargestellt werden; abweichende Werte sollen eindeutig hervorgehoben werden, ohne daraus automatisch einen Fehlerzustand abzuleiten.</w:t>
      </w:r>
    </w:p>
    <w:p>
      <w:pPr>
        <w:pStyle w:val="Heading2"/>
      </w:pPr>
      <w:r>
        <w:t>Zyklen und Hersteller-SOH:</w:t>
      </w:r>
    </w:p>
    <w:p>
      <w:r>
        <w:t>Cycle Count und Pylontech-SOH sollen ebenfalls modulbezogen in diesem Reiter dargestellt werden, sobald für die eingesetzte Pylontech-Konsole ein technisch belastbarer, adressierbarer Modulbezug nachgewiesen ist. Bis zu diesem Nachweis darf ein durch `stat` gelieferter Anlagen-/Masterwert nicht als individueller Modulwert beschriftet oder vervielfältigt werden. Hersteller-SOH und Cycle Count bleiben BMS-Daten und werden nicht mit Guardian-eigenen Zellkonsistenz- oder Gesundheitsbewertungen vermischt.</w:t>
      </w:r>
    </w:p>
    <w:p>
      <w:pPr>
        <w:pStyle w:val="Heading2"/>
      </w:pPr>
      <w:r>
        <w:t>Erfassung, Aktualisierung und Persistenz:</w:t>
      </w:r>
    </w:p>
    <w:p>
      <w:r>
        <w:t>Identitäts- und Firmwareinformationen ändern sich im Normalbetrieb selten und benötigen daher keinen schnellen Polling-Zyklus. Die Erfassung soll beim Start bzw. bei Auto-Discovery sowie nach relevanten Topologie-, Service- oder Firmwareänderungen erfolgen. Der zuletzt erfolgreich gelesene Datensatz ist mit Zeitstempel zu persistieren. Nicht erreichbare Module dürfen vorhandene Identitätsdaten nicht stillschweigend löschen; der Erfassungsstatus muss stattdessen sichtbar bleiben.</w:t>
      </w:r>
    </w:p>
    <w:p>
      <w:pPr>
        <w:pStyle w:val="Heading2"/>
      </w:pPr>
      <w:r>
        <w:t>Provenienz und Trennung der Datenarten:</w:t>
      </w:r>
    </w:p>
    <w:p>
      <w:r>
        <w:t>Alle in diesem Reiter angezeigten Werte sind als vom Pylontech-BMS gelieferte Herstellerinformationen zu kennzeichnen. Guardian darf daraus ohne separate, dokumentierte Diagnosemethodik keine eigenen Gesundheitswerte ableiten. Die Daten müssen mit Moduladresse, Barcode/Serienkennung, Erfassungszeitpunkt sowie der gültigen Guardian- und Diagnostic-Engine-Version nachvollziehbar gespeichert werden.</w:t>
      </w:r>
    </w:p>
    <w:p>
      <w:r>
        <w:t>Änderungsstand v2.0: Design Request v1.9 vollständig fortgeführt. Ergänzt wurde der Dashboard-Reiter „BMS / Modul-Identität“ zur modulbezogenen Darstellung und zum Vergleich der über `info &lt;module&gt;` verfügbaren Pylontech-Hersteller-, Hardware- und Firmwareinformationen. Cycle Count und Hersteller-SOH werden als gewünschte modulbezogene BMS-Werte aufgenommen, jedoch nur bei nachgewiesenem adressierbarem Modulbezug angezeigt.</w:t>
      </w:r>
    </w:p>
    <w:sectPr w:rsidR="00FC693F" w:rsidRPr="0006063C" w:rsidSect="00034616">
      <w:footerReference w:type="default" r:id="rId9"/>
      <w:headerReference w:type="default" r:id="rId10"/>
      <w:footerReference w:type="first" r:id="rId12"/>
      <w:footerReference w:type="even" r:id="rId13"/>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Guardian Cell Diagnostics – Design Request v2.0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