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BA30" w14:textId="77777777" w:rsidR="005730AA" w:rsidRPr="005730AA" w:rsidRDefault="005730AA" w:rsidP="005730AA">
      <w:pPr>
        <w:spacing w:line="276" w:lineRule="auto"/>
        <w:jc w:val="center"/>
        <w:rPr>
          <w:rFonts w:ascii="Tahoma" w:hAnsi="Tahoma" w:cs="Tahoma"/>
          <w:sz w:val="22"/>
          <w:szCs w:val="24"/>
        </w:rPr>
      </w:pPr>
      <w:r w:rsidRPr="005730AA">
        <w:rPr>
          <w:rFonts w:ascii="Tahoma" w:hAnsi="Tahoma" w:cs="Tahoma"/>
          <w:sz w:val="22"/>
          <w:szCs w:val="24"/>
        </w:rPr>
        <w:t>Reflection Report</w:t>
      </w:r>
    </w:p>
    <w:p w14:paraId="4A50964F"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ACC102 Mini Assignment – Track 4: Interactive Data Analysis Tool</w:t>
      </w:r>
    </w:p>
    <w:p w14:paraId="10A32A7F"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Product Title:</w:t>
      </w:r>
    </w:p>
    <w:p w14:paraId="5EA1FCC9" w14:textId="7AB60F9F"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2020–2024 Top 20 Football Clubs Financial Health Analysis (</w:t>
      </w: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Interactive Web App)</w:t>
      </w:r>
    </w:p>
    <w:p w14:paraId="475E0959" w14:textId="24C4EB7B"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Student </w:t>
      </w:r>
      <w:proofErr w:type="spellStart"/>
      <w:proofErr w:type="gramStart"/>
      <w:r w:rsidRPr="005730AA">
        <w:rPr>
          <w:rFonts w:ascii="Tahoma" w:hAnsi="Tahoma" w:cs="Tahoma"/>
          <w:sz w:val="22"/>
          <w:szCs w:val="24"/>
        </w:rPr>
        <w:t>Name:</w:t>
      </w:r>
      <w:r w:rsidRPr="005730AA">
        <w:rPr>
          <w:rFonts w:ascii="Tahoma" w:hAnsi="Tahoma" w:cs="Tahoma"/>
          <w:sz w:val="22"/>
          <w:szCs w:val="24"/>
        </w:rPr>
        <w:t>Hongyu.Pan</w:t>
      </w:r>
      <w:proofErr w:type="spellEnd"/>
      <w:proofErr w:type="gramEnd"/>
    </w:p>
    <w:p w14:paraId="00D545D2" w14:textId="0BAAA5F0"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Student ID:</w:t>
      </w:r>
      <w:r w:rsidRPr="005730AA">
        <w:rPr>
          <w:rFonts w:ascii="Tahoma" w:hAnsi="Tahoma" w:cs="Tahoma"/>
          <w:sz w:val="22"/>
          <w:szCs w:val="24"/>
        </w:rPr>
        <w:t>2471614</w:t>
      </w:r>
    </w:p>
    <w:p w14:paraId="1C611AE2" w14:textId="74E53A0A"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Date:16 April 2026</w:t>
      </w:r>
    </w:p>
    <w:p w14:paraId="54510BA2"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Word count: 682</w:t>
      </w:r>
    </w:p>
    <w:p w14:paraId="44381889" w14:textId="2CBA5C91"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Analytical Problem and Intended User/Audience</w:t>
      </w:r>
    </w:p>
    <w:p w14:paraId="37121749"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The core analytical problem addressed in this project is: Do higher revenues automatically lead to better financial health in elite football clubs? Specifically, I examined whether strong revenue growth translates into effective cost control (measured by Wages/Revenue Ratio) and sustainable revenue diversification (particularly commercial revenue share), and how these financial metrics interact with on-pitch performance.</w:t>
      </w:r>
    </w:p>
    <w:p w14:paraId="4C142B5A"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The target audience is club financial directors (CFOs), sports investors, and accounting professionals. These users need practical, interactive tools to assess UEFA Financial Fair Play (FFP) compliance risks, evaluate cost discipline, and identify clubs with resilient business models. The </w:t>
      </w: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web app allows them to dynamically filter clubs and years, instantly </w:t>
      </w:r>
      <w:proofErr w:type="spellStart"/>
      <w:r w:rsidRPr="005730AA">
        <w:rPr>
          <w:rFonts w:ascii="Tahoma" w:hAnsi="Tahoma" w:cs="Tahoma"/>
          <w:sz w:val="22"/>
          <w:szCs w:val="24"/>
        </w:rPr>
        <w:t>visualise</w:t>
      </w:r>
      <w:proofErr w:type="spellEnd"/>
      <w:r w:rsidRPr="005730AA">
        <w:rPr>
          <w:rFonts w:ascii="Tahoma" w:hAnsi="Tahoma" w:cs="Tahoma"/>
          <w:sz w:val="22"/>
          <w:szCs w:val="24"/>
        </w:rPr>
        <w:t xml:space="preserve"> wages ratios against the 70% FFP threshold, and explore revenue trends — turning static Deloitte data into an actionable decision-support product.</w:t>
      </w:r>
    </w:p>
    <w:p w14:paraId="3CD001C0" w14:textId="1950CE42"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Dataset and Selection Rationale</w:t>
      </w:r>
    </w:p>
    <w:p w14:paraId="12DFE55D"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I used two datasets derived from the Deloitte Football Money League 2025 report (accessed 13 April 2026):</w:t>
      </w:r>
    </w:p>
    <w:p w14:paraId="326EE69F" w14:textId="3D4ED83F"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financial_data.csv: 20 clubs × 5 years (2020–2024), containing Club Name, Year, Total Revenue (€m), Commercial Revenue (€m), and Wages/Revenue Ratio (%).</w:t>
      </w:r>
    </w:p>
    <w:p w14:paraId="63922053" w14:textId="6174B7BF"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performance_data.csv: 5-year league position, points, and European competition results for Real Madrid, AC Milan, and Paris Saint-Germain.</w:t>
      </w:r>
    </w:p>
    <w:p w14:paraId="77EF03B0"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This dataset was chosen because it is recent, authoritative, and directly relevant to accounting and financial management in the football industry. It provides a complete panel of top-revenue clubs, enabling both cross-sectional (2024 snapshot) and longitudinal (5-year trend) analysis. The data’s business context perfectly aligns with the module’s focus on financial health, cost control, and regulatory compliance (UEFA FFP).</w:t>
      </w:r>
    </w:p>
    <w:p w14:paraId="276D7A97" w14:textId="6BBBADCA"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Python Methods Used</w:t>
      </w:r>
    </w:p>
    <w:p w14:paraId="2E04ABE1"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The project consists of two complementary Python components:</w:t>
      </w:r>
    </w:p>
    <w:p w14:paraId="044292FC" w14:textId="6FB8347B" w:rsidR="005730AA" w:rsidRPr="005730AA" w:rsidRDefault="005730AA" w:rsidP="005730AA">
      <w:pPr>
        <w:spacing w:line="276" w:lineRule="auto"/>
        <w:ind w:left="440"/>
        <w:rPr>
          <w:rFonts w:ascii="Tahoma" w:hAnsi="Tahoma" w:cs="Tahoma"/>
          <w:sz w:val="22"/>
          <w:szCs w:val="24"/>
        </w:rPr>
      </w:pPr>
      <w:proofErr w:type="spellStart"/>
      <w:r w:rsidRPr="005730AA">
        <w:rPr>
          <w:rFonts w:ascii="Tahoma" w:hAnsi="Tahoma" w:cs="Tahoma"/>
          <w:sz w:val="22"/>
          <w:szCs w:val="24"/>
        </w:rPr>
        <w:t>Jupyter</w:t>
      </w:r>
      <w:proofErr w:type="spellEnd"/>
      <w:r w:rsidRPr="005730AA">
        <w:rPr>
          <w:rFonts w:ascii="Tahoma" w:hAnsi="Tahoma" w:cs="Tahoma"/>
          <w:sz w:val="22"/>
          <w:szCs w:val="24"/>
        </w:rPr>
        <w:t xml:space="preserve"> Notebook (</w:t>
      </w:r>
      <w:proofErr w:type="spellStart"/>
      <w:r w:rsidRPr="005730AA">
        <w:rPr>
          <w:rFonts w:ascii="Tahoma" w:hAnsi="Tahoma" w:cs="Tahoma"/>
          <w:sz w:val="22"/>
          <w:szCs w:val="24"/>
        </w:rPr>
        <w:t>football_analysis_</w:t>
      </w:r>
      <w:proofErr w:type="gramStart"/>
      <w:r w:rsidRPr="005730AA">
        <w:rPr>
          <w:rFonts w:ascii="Tahoma" w:hAnsi="Tahoma" w:cs="Tahoma"/>
          <w:sz w:val="22"/>
          <w:szCs w:val="24"/>
        </w:rPr>
        <w:t>csv.ipynb</w:t>
      </w:r>
      <w:proofErr w:type="spellEnd"/>
      <w:proofErr w:type="gramEnd"/>
      <w:r w:rsidRPr="005730AA">
        <w:rPr>
          <w:rFonts w:ascii="Tahoma" w:hAnsi="Tahoma" w:cs="Tahoma"/>
          <w:sz w:val="22"/>
          <w:szCs w:val="24"/>
        </w:rPr>
        <w:t xml:space="preserve">): Demonstrates the full analytical </w:t>
      </w:r>
      <w:r w:rsidRPr="005730AA">
        <w:rPr>
          <w:rFonts w:ascii="Tahoma" w:hAnsi="Tahoma" w:cs="Tahoma"/>
          <w:sz w:val="22"/>
          <w:szCs w:val="24"/>
        </w:rPr>
        <w:lastRenderedPageBreak/>
        <w:t xml:space="preserve">workflow — data loading with </w:t>
      </w:r>
      <w:proofErr w:type="spellStart"/>
      <w:proofErr w:type="gramStart"/>
      <w:r w:rsidRPr="005730AA">
        <w:rPr>
          <w:rFonts w:ascii="Tahoma" w:hAnsi="Tahoma" w:cs="Tahoma"/>
          <w:sz w:val="22"/>
          <w:szCs w:val="24"/>
        </w:rPr>
        <w:t>pd.read</w:t>
      </w:r>
      <w:proofErr w:type="gramEnd"/>
      <w:r w:rsidRPr="005730AA">
        <w:rPr>
          <w:rFonts w:ascii="Tahoma" w:hAnsi="Tahoma" w:cs="Tahoma"/>
          <w:sz w:val="22"/>
          <w:szCs w:val="24"/>
        </w:rPr>
        <w:t>_csv</w:t>
      </w:r>
      <w:proofErr w:type="spellEnd"/>
      <w:r w:rsidRPr="005730AA">
        <w:rPr>
          <w:rFonts w:ascii="Tahoma" w:hAnsi="Tahoma" w:cs="Tahoma"/>
          <w:sz w:val="22"/>
          <w:szCs w:val="24"/>
        </w:rPr>
        <w:t xml:space="preserve">(encoding='utf-8-sig'), column renaming, numeric conversion using </w:t>
      </w:r>
      <w:proofErr w:type="spellStart"/>
      <w:r w:rsidRPr="005730AA">
        <w:rPr>
          <w:rFonts w:ascii="Tahoma" w:hAnsi="Tahoma" w:cs="Tahoma"/>
          <w:sz w:val="22"/>
          <w:szCs w:val="24"/>
        </w:rPr>
        <w:t>pd.to_numeric</w:t>
      </w:r>
      <w:proofErr w:type="spellEnd"/>
      <w:r w:rsidRPr="005730AA">
        <w:rPr>
          <w:rFonts w:ascii="Tahoma" w:hAnsi="Tahoma" w:cs="Tahoma"/>
          <w:sz w:val="22"/>
          <w:szCs w:val="24"/>
        </w:rPr>
        <w:t>(errors='coerce'), feature engineering (</w:t>
      </w:r>
      <w:proofErr w:type="spellStart"/>
      <w:r w:rsidRPr="005730AA">
        <w:rPr>
          <w:rFonts w:ascii="Tahoma" w:hAnsi="Tahoma" w:cs="Tahoma"/>
          <w:sz w:val="22"/>
          <w:szCs w:val="24"/>
        </w:rPr>
        <w:t>Wages_Amount</w:t>
      </w:r>
      <w:proofErr w:type="spellEnd"/>
      <w:r w:rsidRPr="005730AA">
        <w:rPr>
          <w:rFonts w:ascii="Tahoma" w:hAnsi="Tahoma" w:cs="Tahoma"/>
          <w:sz w:val="22"/>
          <w:szCs w:val="24"/>
        </w:rPr>
        <w:t xml:space="preserve"> and </w:t>
      </w:r>
      <w:proofErr w:type="spellStart"/>
      <w:r w:rsidRPr="005730AA">
        <w:rPr>
          <w:rFonts w:ascii="Tahoma" w:hAnsi="Tahoma" w:cs="Tahoma"/>
          <w:sz w:val="22"/>
          <w:szCs w:val="24"/>
        </w:rPr>
        <w:t>Commercial_Share</w:t>
      </w:r>
      <w:proofErr w:type="spellEnd"/>
      <w:r w:rsidRPr="005730AA">
        <w:rPr>
          <w:rFonts w:ascii="Tahoma" w:hAnsi="Tahoma" w:cs="Tahoma"/>
          <w:sz w:val="22"/>
          <w:szCs w:val="24"/>
        </w:rPr>
        <w:t xml:space="preserve"> calculations), and both cross-sectional and longitudinal </w:t>
      </w:r>
      <w:proofErr w:type="spellStart"/>
      <w:r w:rsidRPr="005730AA">
        <w:rPr>
          <w:rFonts w:ascii="Tahoma" w:hAnsi="Tahoma" w:cs="Tahoma"/>
          <w:sz w:val="22"/>
          <w:szCs w:val="24"/>
        </w:rPr>
        <w:t>visualisations</w:t>
      </w:r>
      <w:proofErr w:type="spellEnd"/>
      <w:r w:rsidRPr="005730AA">
        <w:rPr>
          <w:rFonts w:ascii="Tahoma" w:hAnsi="Tahoma" w:cs="Tahoma"/>
          <w:sz w:val="22"/>
          <w:szCs w:val="24"/>
        </w:rPr>
        <w:t xml:space="preserve"> using matplotlib and seaborn.</w:t>
      </w:r>
    </w:p>
    <w:p w14:paraId="090D8286" w14:textId="4A5FE3C3" w:rsidR="005730AA" w:rsidRPr="005730AA" w:rsidRDefault="005730AA" w:rsidP="005730AA">
      <w:pPr>
        <w:spacing w:line="276" w:lineRule="auto"/>
        <w:ind w:left="440"/>
        <w:rPr>
          <w:rFonts w:ascii="Tahoma" w:hAnsi="Tahoma" w:cs="Tahoma"/>
          <w:sz w:val="22"/>
          <w:szCs w:val="24"/>
        </w:rPr>
      </w:pP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Interactive Tool (app.py): Transforms the analysis into a user-facing product. It uses @</w:t>
      </w:r>
      <w:proofErr w:type="gramStart"/>
      <w:r w:rsidRPr="005730AA">
        <w:rPr>
          <w:rFonts w:ascii="Tahoma" w:hAnsi="Tahoma" w:cs="Tahoma"/>
          <w:sz w:val="22"/>
          <w:szCs w:val="24"/>
        </w:rPr>
        <w:t>st.cache</w:t>
      </w:r>
      <w:proofErr w:type="gramEnd"/>
      <w:r w:rsidRPr="005730AA">
        <w:rPr>
          <w:rFonts w:ascii="Tahoma" w:hAnsi="Tahoma" w:cs="Tahoma"/>
          <w:sz w:val="22"/>
          <w:szCs w:val="24"/>
        </w:rPr>
        <w:t>_data for efficient data loading, sidebar widgets (</w:t>
      </w:r>
      <w:proofErr w:type="spellStart"/>
      <w:proofErr w:type="gramStart"/>
      <w:r w:rsidRPr="005730AA">
        <w:rPr>
          <w:rFonts w:ascii="Tahoma" w:hAnsi="Tahoma" w:cs="Tahoma"/>
          <w:sz w:val="22"/>
          <w:szCs w:val="24"/>
        </w:rPr>
        <w:t>st.multiselect</w:t>
      </w:r>
      <w:proofErr w:type="spellEnd"/>
      <w:proofErr w:type="gramEnd"/>
      <w:r w:rsidRPr="005730AA">
        <w:rPr>
          <w:rFonts w:ascii="Tahoma" w:hAnsi="Tahoma" w:cs="Tahoma"/>
          <w:sz w:val="22"/>
          <w:szCs w:val="24"/>
        </w:rPr>
        <w:t xml:space="preserve">, </w:t>
      </w:r>
      <w:proofErr w:type="spellStart"/>
      <w:proofErr w:type="gramStart"/>
      <w:r w:rsidRPr="005730AA">
        <w:rPr>
          <w:rFonts w:ascii="Tahoma" w:hAnsi="Tahoma" w:cs="Tahoma"/>
          <w:sz w:val="22"/>
          <w:szCs w:val="24"/>
        </w:rPr>
        <w:t>st.slider</w:t>
      </w:r>
      <w:proofErr w:type="spellEnd"/>
      <w:proofErr w:type="gramEnd"/>
      <w:r w:rsidRPr="005730AA">
        <w:rPr>
          <w:rFonts w:ascii="Tahoma" w:hAnsi="Tahoma" w:cs="Tahoma"/>
          <w:sz w:val="22"/>
          <w:szCs w:val="24"/>
        </w:rPr>
        <w:t xml:space="preserve">, </w:t>
      </w:r>
      <w:proofErr w:type="spellStart"/>
      <w:proofErr w:type="gramStart"/>
      <w:r w:rsidRPr="005730AA">
        <w:rPr>
          <w:rFonts w:ascii="Tahoma" w:hAnsi="Tahoma" w:cs="Tahoma"/>
          <w:sz w:val="22"/>
          <w:szCs w:val="24"/>
        </w:rPr>
        <w:t>st.selectbox</w:t>
      </w:r>
      <w:proofErr w:type="spellEnd"/>
      <w:proofErr w:type="gramEnd"/>
      <w:r w:rsidRPr="005730AA">
        <w:rPr>
          <w:rFonts w:ascii="Tahoma" w:hAnsi="Tahoma" w:cs="Tahoma"/>
          <w:sz w:val="22"/>
          <w:szCs w:val="24"/>
        </w:rPr>
        <w:t>), dynamic filtering, and real-time rendering of four interactive charts (bar plots with FFP threshold line, regression scatter plot, and multi-line trend plot).</w:t>
      </w:r>
    </w:p>
    <w:p w14:paraId="66551243"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All code follows clean, reproducible practices and is fully documented with markdown cells and comments.</w:t>
      </w:r>
    </w:p>
    <w:p w14:paraId="68AA8E65" w14:textId="51E3F461"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Main Insights and Outputs Produced</w:t>
      </w:r>
    </w:p>
    <w:p w14:paraId="7225B4C5"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The interactive app and notebook revealed several key findings:</w:t>
      </w:r>
    </w:p>
    <w:p w14:paraId="2B94E1FA" w14:textId="180D11F0"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Cost control variation: Real Madrid achieved the lowest Wages/Revenue Ratio (48% in 2024) despite the highest revenue, demonstrating superior financial discipline.</w:t>
      </w:r>
    </w:p>
    <w:p w14:paraId="09AE09C4" w14:textId="1F352B4C"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Negative correlation: Higher-revenue clubs generally maintain stronger cost control.</w:t>
      </w:r>
    </w:p>
    <w:p w14:paraId="74B964CA" w14:textId="36BA5DA6"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FFP compliance risk: Multiple clubs consistently exceed the 70% UEFA warning threshold.</w:t>
      </w:r>
    </w:p>
    <w:p w14:paraId="075C8941" w14:textId="274CCD77"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Revenue diversification matters: Clubs with higher commercial revenue share recovered faster after the COVID-19 period and showed more stable wage ratios.</w:t>
      </w:r>
    </w:p>
    <w:p w14:paraId="040A3D70" w14:textId="6761BC6A"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Lagged performance effect: Champions League success (e.g., Real Madrid’s 2022 win) had a noticeable positive lagged impact on commercial revenue growth in subsequent years.</w:t>
      </w:r>
    </w:p>
    <w:p w14:paraId="17E3955B"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These insights are delivered through an intuitive web interface that lets users explore the data themselves, far beyond static charts.</w:t>
      </w:r>
    </w:p>
    <w:p w14:paraId="10E58938" w14:textId="1142C261"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Limitations, Reliability Issues, and Possible Improvements</w:t>
      </w:r>
    </w:p>
    <w:p w14:paraId="50CDF5EB"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Limitations include: (1) reliance on aggregated Deloitte data, which may contain minor estimation differences across clubs; (2) missing Wages/Revenue Ratio values for a few clubs in 2023–2024 (handled via </w:t>
      </w:r>
      <w:proofErr w:type="spellStart"/>
      <w:r w:rsidRPr="005730AA">
        <w:rPr>
          <w:rFonts w:ascii="Tahoma" w:hAnsi="Tahoma" w:cs="Tahoma"/>
          <w:sz w:val="22"/>
          <w:szCs w:val="24"/>
        </w:rPr>
        <w:t>NaN</w:t>
      </w:r>
      <w:proofErr w:type="spellEnd"/>
      <w:r w:rsidRPr="005730AA">
        <w:rPr>
          <w:rFonts w:ascii="Tahoma" w:hAnsi="Tahoma" w:cs="Tahoma"/>
          <w:sz w:val="22"/>
          <w:szCs w:val="24"/>
        </w:rPr>
        <w:t xml:space="preserve"> coercion); (3) performance data limited to only three clubs for the longitudinal case study.</w:t>
      </w:r>
    </w:p>
    <w:p w14:paraId="08602AA4"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Reliability is high because the source is the industry gold standard, but future improvements could include: adding wage absolute values for all clubs, incorporating player wage cap analysis, or integrating real-time transfer market data via API. Expanding the app to allow users to upload their own CSV would increase flexibility.</w:t>
      </w:r>
    </w:p>
    <w:p w14:paraId="6C508920" w14:textId="2933BCF5"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Own Contribution, Decisions, and Learning</w:t>
      </w:r>
    </w:p>
    <w:p w14:paraId="68A98FA0"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I personally designed the analytical problem, selected and cleaned the dataset, engineered the financial ratios, built both the notebook workflow and the complete </w:t>
      </w: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app (including all filters and four dynamic charts), wrote the professional </w:t>
      </w:r>
      <w:r w:rsidRPr="005730AA">
        <w:rPr>
          <w:rFonts w:ascii="Tahoma" w:hAnsi="Tahoma" w:cs="Tahoma"/>
          <w:sz w:val="22"/>
          <w:szCs w:val="24"/>
        </w:rPr>
        <w:lastRenderedPageBreak/>
        <w:t xml:space="preserve">README, and deployed the live demo on </w:t>
      </w: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Cloud. I made deliberate decisions to </w:t>
      </w:r>
      <w:proofErr w:type="spellStart"/>
      <w:r w:rsidRPr="005730AA">
        <w:rPr>
          <w:rFonts w:ascii="Tahoma" w:hAnsi="Tahoma" w:cs="Tahoma"/>
          <w:sz w:val="22"/>
          <w:szCs w:val="24"/>
        </w:rPr>
        <w:t>prioritise</w:t>
      </w:r>
      <w:proofErr w:type="spellEnd"/>
      <w:r w:rsidRPr="005730AA">
        <w:rPr>
          <w:rFonts w:ascii="Tahoma" w:hAnsi="Tahoma" w:cs="Tahoma"/>
          <w:sz w:val="22"/>
          <w:szCs w:val="24"/>
        </w:rPr>
        <w:t xml:space="preserve"> user experience (sidebar filters, clear FFP threshold line, responsive layout) over overly complex modelling, ensuring the product remains accessible yet substantive.</w:t>
      </w:r>
    </w:p>
    <w:p w14:paraId="4BF7E8D5"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This assignment taught me how to turn raw accounting data into a real business product. I learned the importance of interactive design for stakeholder communication and gained confidence in using Python for end-to-end data products (from CSV cleaning to cloud deployment).</w:t>
      </w:r>
    </w:p>
    <w:p w14:paraId="00AC08F4"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AI Use Disclosure</w:t>
      </w:r>
    </w:p>
    <w:p w14:paraId="62E01663"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I used Grok (built by </w:t>
      </w:r>
      <w:proofErr w:type="spellStart"/>
      <w:r w:rsidRPr="005730AA">
        <w:rPr>
          <w:rFonts w:ascii="Tahoma" w:hAnsi="Tahoma" w:cs="Tahoma"/>
          <w:sz w:val="22"/>
          <w:szCs w:val="24"/>
        </w:rPr>
        <w:t>xAI</w:t>
      </w:r>
      <w:proofErr w:type="spellEnd"/>
      <w:r w:rsidRPr="005730AA">
        <w:rPr>
          <w:rFonts w:ascii="Tahoma" w:hAnsi="Tahoma" w:cs="Tahoma"/>
          <w:sz w:val="22"/>
          <w:szCs w:val="24"/>
        </w:rPr>
        <w:t>, version current as of April 2026) on multiple occasions between 12–16 April 2026. Specifically:</w:t>
      </w:r>
    </w:p>
    <w:p w14:paraId="49C7B213" w14:textId="7F926B6E"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 xml:space="preserve">Generated and refined the </w:t>
      </w:r>
      <w:proofErr w:type="spellStart"/>
      <w:r w:rsidRPr="005730AA">
        <w:rPr>
          <w:rFonts w:ascii="Tahoma" w:hAnsi="Tahoma" w:cs="Tahoma"/>
          <w:sz w:val="22"/>
          <w:szCs w:val="24"/>
        </w:rPr>
        <w:t>Streamlit</w:t>
      </w:r>
      <w:proofErr w:type="spellEnd"/>
      <w:r w:rsidRPr="005730AA">
        <w:rPr>
          <w:rFonts w:ascii="Tahoma" w:hAnsi="Tahoma" w:cs="Tahoma"/>
          <w:sz w:val="22"/>
          <w:szCs w:val="24"/>
        </w:rPr>
        <w:t xml:space="preserve"> app.py code structure and chart layouts.</w:t>
      </w:r>
    </w:p>
    <w:p w14:paraId="0D076D9B" w14:textId="3276B960"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Provided iterative feedback on README.md content and structure.</w:t>
      </w:r>
    </w:p>
    <w:p w14:paraId="71047998" w14:textId="5F662578" w:rsidR="005730AA" w:rsidRPr="005730AA" w:rsidRDefault="005730AA" w:rsidP="005730AA">
      <w:pPr>
        <w:spacing w:line="276" w:lineRule="auto"/>
        <w:ind w:left="440"/>
        <w:rPr>
          <w:rFonts w:ascii="Tahoma" w:hAnsi="Tahoma" w:cs="Tahoma"/>
          <w:sz w:val="22"/>
          <w:szCs w:val="24"/>
        </w:rPr>
      </w:pPr>
      <w:r w:rsidRPr="005730AA">
        <w:rPr>
          <w:rFonts w:ascii="Tahoma" w:hAnsi="Tahoma" w:cs="Tahoma"/>
          <w:sz w:val="22"/>
          <w:szCs w:val="24"/>
        </w:rPr>
        <w:t>Drafted this reflection report based on my project details (I reviewed and edited every sentence to ensure it accurately reflects my own work and understanding).</w:t>
      </w:r>
    </w:p>
    <w:p w14:paraId="53B9B574"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Grok was used only as a coding assistant and writing support tool; all analytical decisions, code logic, data interpretation, and final content remain my own intellectual contribution.</w:t>
      </w:r>
    </w:p>
    <w:p w14:paraId="1672F916"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References</w:t>
      </w:r>
    </w:p>
    <w:p w14:paraId="53CA8194"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Deloitte Football Money League 2025 Report (accessed 13 April 2026).</w:t>
      </w:r>
    </w:p>
    <w:p w14:paraId="1AD9FAA3" w14:textId="77777777" w:rsidR="005730AA" w:rsidRPr="005730AA" w:rsidRDefault="005730AA" w:rsidP="005730AA">
      <w:pPr>
        <w:spacing w:line="276" w:lineRule="auto"/>
        <w:rPr>
          <w:rFonts w:ascii="Tahoma" w:hAnsi="Tahoma" w:cs="Tahoma"/>
          <w:sz w:val="22"/>
          <w:szCs w:val="24"/>
        </w:rPr>
      </w:pPr>
      <w:r w:rsidRPr="005730AA">
        <w:rPr>
          <w:rFonts w:ascii="Tahoma" w:hAnsi="Tahoma" w:cs="Tahoma"/>
          <w:sz w:val="22"/>
          <w:szCs w:val="24"/>
        </w:rPr>
        <w:t xml:space="preserve">All code and data available at: </w:t>
      </w:r>
    </w:p>
    <w:p w14:paraId="445BA0D3" w14:textId="3770F9F6" w:rsidR="009025DA" w:rsidRPr="005730AA" w:rsidRDefault="005730AA" w:rsidP="005730AA">
      <w:pPr>
        <w:spacing w:line="276" w:lineRule="auto"/>
        <w:rPr>
          <w:rFonts w:ascii="Tahoma" w:hAnsi="Tahoma" w:cs="Tahoma"/>
          <w:sz w:val="22"/>
          <w:szCs w:val="24"/>
        </w:rPr>
      </w:pPr>
      <w:r w:rsidRPr="005730AA">
        <w:rPr>
          <w:rFonts w:ascii="Tahoma" w:hAnsi="Tahoma" w:cs="Tahoma"/>
          <w:sz w:val="22"/>
          <w:szCs w:val="24"/>
        </w:rPr>
        <w:t>https://github.com/Andreas-bu/ACC102-football-finance-analysis</w:t>
      </w:r>
    </w:p>
    <w:sectPr w:rsidR="009025DA" w:rsidRPr="005730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3384"/>
    <w:multiLevelType w:val="hybridMultilevel"/>
    <w:tmpl w:val="4F7EEEB0"/>
    <w:lvl w:ilvl="0" w:tplc="04090001">
      <w:start w:val="1"/>
      <w:numFmt w:val="bullet"/>
      <w:lvlText w:val=""/>
      <w:lvlJc w:val="left"/>
      <w:pPr>
        <w:ind w:left="440" w:hanging="440"/>
      </w:pPr>
      <w:rPr>
        <w:rFonts w:ascii="Wingdings" w:hAnsi="Wingdings" w:hint="default"/>
      </w:rPr>
    </w:lvl>
    <w:lvl w:ilvl="1" w:tplc="9E3E28B4">
      <w:start w:val="2"/>
      <w:numFmt w:val="bullet"/>
      <w:lvlText w:val="•"/>
      <w:lvlJc w:val="left"/>
      <w:pPr>
        <w:ind w:left="800" w:hanging="360"/>
      </w:pPr>
      <w:rPr>
        <w:rFonts w:ascii="Tahoma" w:eastAsiaTheme="minorEastAsia" w:hAnsi="Tahoma" w:cs="Tahoma"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79C624A"/>
    <w:multiLevelType w:val="hybridMultilevel"/>
    <w:tmpl w:val="E182E236"/>
    <w:lvl w:ilvl="0" w:tplc="671C20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8102302">
    <w:abstractNumId w:val="0"/>
  </w:num>
  <w:num w:numId="2" w16cid:durableId="2134715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AA"/>
    <w:rsid w:val="003C518D"/>
    <w:rsid w:val="005730AA"/>
    <w:rsid w:val="006A55AE"/>
    <w:rsid w:val="009025DA"/>
    <w:rsid w:val="00EF4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322C"/>
  <w15:chartTrackingRefBased/>
  <w15:docId w15:val="{4A53F099-7411-4306-A1CD-1D260388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30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30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30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30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30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730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30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30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30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30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30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30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30AA"/>
    <w:rPr>
      <w:rFonts w:cstheme="majorBidi"/>
      <w:color w:val="0F4761" w:themeColor="accent1" w:themeShade="BF"/>
      <w:sz w:val="28"/>
      <w:szCs w:val="28"/>
    </w:rPr>
  </w:style>
  <w:style w:type="character" w:customStyle="1" w:styleId="50">
    <w:name w:val="标题 5 字符"/>
    <w:basedOn w:val="a0"/>
    <w:link w:val="5"/>
    <w:uiPriority w:val="9"/>
    <w:semiHidden/>
    <w:rsid w:val="005730AA"/>
    <w:rPr>
      <w:rFonts w:cstheme="majorBidi"/>
      <w:color w:val="0F4761" w:themeColor="accent1" w:themeShade="BF"/>
      <w:sz w:val="24"/>
      <w:szCs w:val="24"/>
    </w:rPr>
  </w:style>
  <w:style w:type="character" w:customStyle="1" w:styleId="60">
    <w:name w:val="标题 6 字符"/>
    <w:basedOn w:val="a0"/>
    <w:link w:val="6"/>
    <w:uiPriority w:val="9"/>
    <w:semiHidden/>
    <w:rsid w:val="005730AA"/>
    <w:rPr>
      <w:rFonts w:cstheme="majorBidi"/>
      <w:b/>
      <w:bCs/>
      <w:color w:val="0F4761" w:themeColor="accent1" w:themeShade="BF"/>
    </w:rPr>
  </w:style>
  <w:style w:type="character" w:customStyle="1" w:styleId="70">
    <w:name w:val="标题 7 字符"/>
    <w:basedOn w:val="a0"/>
    <w:link w:val="7"/>
    <w:uiPriority w:val="9"/>
    <w:semiHidden/>
    <w:rsid w:val="005730AA"/>
    <w:rPr>
      <w:rFonts w:cstheme="majorBidi"/>
      <w:b/>
      <w:bCs/>
      <w:color w:val="595959" w:themeColor="text1" w:themeTint="A6"/>
    </w:rPr>
  </w:style>
  <w:style w:type="character" w:customStyle="1" w:styleId="80">
    <w:name w:val="标题 8 字符"/>
    <w:basedOn w:val="a0"/>
    <w:link w:val="8"/>
    <w:uiPriority w:val="9"/>
    <w:semiHidden/>
    <w:rsid w:val="005730AA"/>
    <w:rPr>
      <w:rFonts w:cstheme="majorBidi"/>
      <w:color w:val="595959" w:themeColor="text1" w:themeTint="A6"/>
    </w:rPr>
  </w:style>
  <w:style w:type="character" w:customStyle="1" w:styleId="90">
    <w:name w:val="标题 9 字符"/>
    <w:basedOn w:val="a0"/>
    <w:link w:val="9"/>
    <w:uiPriority w:val="9"/>
    <w:semiHidden/>
    <w:rsid w:val="005730AA"/>
    <w:rPr>
      <w:rFonts w:eastAsiaTheme="majorEastAsia" w:cstheme="majorBidi"/>
      <w:color w:val="595959" w:themeColor="text1" w:themeTint="A6"/>
    </w:rPr>
  </w:style>
  <w:style w:type="paragraph" w:styleId="a3">
    <w:name w:val="Title"/>
    <w:basedOn w:val="a"/>
    <w:next w:val="a"/>
    <w:link w:val="a4"/>
    <w:uiPriority w:val="10"/>
    <w:qFormat/>
    <w:rsid w:val="005730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30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30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30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30AA"/>
    <w:pPr>
      <w:spacing w:before="160" w:after="160"/>
      <w:jc w:val="center"/>
    </w:pPr>
    <w:rPr>
      <w:i/>
      <w:iCs/>
      <w:color w:val="404040" w:themeColor="text1" w:themeTint="BF"/>
    </w:rPr>
  </w:style>
  <w:style w:type="character" w:customStyle="1" w:styleId="a8">
    <w:name w:val="引用 字符"/>
    <w:basedOn w:val="a0"/>
    <w:link w:val="a7"/>
    <w:uiPriority w:val="29"/>
    <w:rsid w:val="005730AA"/>
    <w:rPr>
      <w:i/>
      <w:iCs/>
      <w:color w:val="404040" w:themeColor="text1" w:themeTint="BF"/>
    </w:rPr>
  </w:style>
  <w:style w:type="paragraph" w:styleId="a9">
    <w:name w:val="List Paragraph"/>
    <w:basedOn w:val="a"/>
    <w:uiPriority w:val="34"/>
    <w:qFormat/>
    <w:rsid w:val="005730AA"/>
    <w:pPr>
      <w:ind w:left="720"/>
      <w:contextualSpacing/>
    </w:pPr>
  </w:style>
  <w:style w:type="character" w:styleId="aa">
    <w:name w:val="Intense Emphasis"/>
    <w:basedOn w:val="a0"/>
    <w:uiPriority w:val="21"/>
    <w:qFormat/>
    <w:rsid w:val="005730AA"/>
    <w:rPr>
      <w:i/>
      <w:iCs/>
      <w:color w:val="0F4761" w:themeColor="accent1" w:themeShade="BF"/>
    </w:rPr>
  </w:style>
  <w:style w:type="paragraph" w:styleId="ab">
    <w:name w:val="Intense Quote"/>
    <w:basedOn w:val="a"/>
    <w:next w:val="a"/>
    <w:link w:val="ac"/>
    <w:uiPriority w:val="30"/>
    <w:qFormat/>
    <w:rsid w:val="00573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30AA"/>
    <w:rPr>
      <w:i/>
      <w:iCs/>
      <w:color w:val="0F4761" w:themeColor="accent1" w:themeShade="BF"/>
    </w:rPr>
  </w:style>
  <w:style w:type="character" w:styleId="ad">
    <w:name w:val="Intense Reference"/>
    <w:basedOn w:val="a0"/>
    <w:uiPriority w:val="32"/>
    <w:qFormat/>
    <w:rsid w:val="00573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虹宇 潘</dc:creator>
  <cp:keywords/>
  <dc:description/>
  <cp:lastModifiedBy>虹宇 潘</cp:lastModifiedBy>
  <cp:revision>1</cp:revision>
  <dcterms:created xsi:type="dcterms:W3CDTF">2026-04-16T09:24:00Z</dcterms:created>
  <dcterms:modified xsi:type="dcterms:W3CDTF">2026-04-16T09:28:00Z</dcterms:modified>
</cp:coreProperties>
</file>