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o5h2x9low0l2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Peer review for group(a)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By: Andréas Anemyr (aa223ig)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Application compiles perfectly. And no errors or warnings in the “Errol List” (Visual Studio)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menu is a little bit problematic. But should be easy ti fix. Application quits when press stand.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Does the implementation and diagrams conform (do they show the same thing)? Are there any missing relations? Relations in the wrong direction?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ClassDiagram:  Class RulesFactory is not corret..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has dependency to SoftSeventennHitStrateg.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has no dependency ti BasicHitStrategy.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ClassDiagram: Class BaseNewGameStrategy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Can’t find it. Has references in code…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ClassDiagram: Controller::PlayGame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Associations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dependency between controller and view handled? How? Good? Bad?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Seems to be a good solution Using enum from view….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Strategy Pattern used correctly for the variations of who wins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It’s a little bit weird to have dependecie from SoftSeventeenHitStrategy17. Se next...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Strategy Pattern used correctly for the rule variant Soft17?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It seems tha RulesFactory::GetHitRule has been hardcoded. And that’s not the strenth of stratey pattern. Look into your classdiagram and I think you can find a better way of switch a strategy in the class model/Dealer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duplicate code removed from everywhere and put in a place that does not add any dependencies (What class already knows about cards and the deck)? Are interfaces updated to reflect the change?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Observer Pattern correctly implemented?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class diagram updated to reflect the changes?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Do you think the design/implementation has passed the grade 2 criteria?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think you need to think a little bit more about the strategy pattern. There is also issues for classdiagram. Fix it and I think you will pass.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1.  Larman C., Applying UML and Patterns 3rd Ed, 2005, ISBN: 0131489062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