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561E20AF" w:rsidR="009A4A05" w:rsidRPr="007265AE" w:rsidRDefault="007265AE" w:rsidP="00EE2B4E">
            <w:pPr>
              <w:rPr>
                <w:rFonts w:ascii="Georgia" w:hAnsi="Georgia"/>
                <w:sz w:val="22"/>
                <w:szCs w:val="22"/>
              </w:rPr>
            </w:pPr>
            <w:r w:rsidRPr="007265AE">
              <w:rPr>
                <w:rFonts w:ascii="Georgia" w:hAnsi="Georgia"/>
                <w:sz w:val="22"/>
                <w:szCs w:val="22"/>
              </w:rPr>
              <w:t xml:space="preserve">The effect of post-traumatic stress disorder as a causal risk factor for major adverse cardiovascular events: a causal </w:t>
            </w:r>
            <w:r w:rsidR="00EE2B4E">
              <w:rPr>
                <w:rFonts w:ascii="Georgia" w:hAnsi="Georgia"/>
                <w:sz w:val="22"/>
                <w:szCs w:val="22"/>
              </w:rPr>
              <w:t>inference</w:t>
            </w:r>
            <w:r w:rsidRPr="007265AE">
              <w:rPr>
                <w:rFonts w:ascii="Georgia" w:hAnsi="Georgia"/>
                <w:sz w:val="22"/>
                <w:szCs w:val="22"/>
              </w:rPr>
              <w:t xml:space="preserve"> analysis</w:t>
            </w:r>
          </w:p>
        </w:tc>
      </w:tr>
      <w:tr w:rsidR="009A4A05" w:rsidRPr="000C31F6"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0C31F6"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4A6DFEDA" w14:textId="42DA2BAD" w:rsidR="00FB57B9" w:rsidRPr="00EE2B4E"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0C31F6"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0C31F6"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21506">
            <w:pPr>
              <w:jc w:val="both"/>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21506">
            <w:pPr>
              <w:jc w:val="both"/>
            </w:pPr>
          </w:p>
          <w:p w14:paraId="19A14698" w14:textId="00C62DCE" w:rsidR="002B4D6A" w:rsidRPr="002B4D6A" w:rsidRDefault="002B4D6A" w:rsidP="00221506">
            <w:pPr>
              <w:jc w:val="both"/>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221506">
            <w:pPr>
              <w:jc w:val="both"/>
            </w:pPr>
          </w:p>
          <w:p w14:paraId="3436345E" w14:textId="2510AF10" w:rsidR="009A4A05" w:rsidRDefault="002B4D6A" w:rsidP="00221506">
            <w:pPr>
              <w:jc w:val="both"/>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090782E1"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r w:rsidR="00BD61B8">
              <w:t>dyslipidemia</w:t>
            </w:r>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1E83D81C" w14:textId="543A5245" w:rsidR="009A4A05" w:rsidRDefault="009A4A05" w:rsidP="00221506">
            <w:pPr>
              <w:jc w:val="both"/>
            </w:pPr>
          </w:p>
          <w:p w14:paraId="43067B78" w14:textId="12C86460" w:rsidR="009A4A05" w:rsidRPr="009736E2" w:rsidRDefault="009A4A05" w:rsidP="00221506">
            <w:pPr>
              <w:spacing w:before="60" w:after="60"/>
              <w:jc w:val="both"/>
              <w:rPr>
                <w:rFonts w:ascii="Georgia" w:hAnsi="Georgia"/>
                <w:i/>
                <w:sz w:val="22"/>
                <w:szCs w:val="22"/>
              </w:rPr>
            </w:pPr>
            <w:r w:rsidRPr="002B4D6A">
              <w:rPr>
                <w:b/>
              </w:rPr>
              <w:t>Methods:</w:t>
            </w:r>
            <w:r w:rsidRPr="00EC1979">
              <w:t xml:space="preserve"> </w:t>
            </w:r>
            <w:r w:rsidR="00CE4B28" w:rsidRPr="00CE4B28">
              <w:t xml:space="preserve">We will conduct a </w:t>
            </w:r>
            <w:r w:rsidR="008B560D">
              <w:t xml:space="preserve">retrospective </w:t>
            </w:r>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r w:rsidR="00DF5FC4">
              <w:t>three</w:t>
            </w:r>
            <w:r w:rsidR="000A036A" w:rsidRPr="000A036A">
              <w:t>-point MACE</w:t>
            </w:r>
            <w:r w:rsidR="000A036A">
              <w:t xml:space="preserve"> (</w:t>
            </w:r>
            <w:r w:rsidR="00DF5FC4">
              <w:t>MACE 3</w:t>
            </w:r>
            <w:r w:rsidR="000A036A" w:rsidRPr="000A036A">
              <w:t>)</w:t>
            </w:r>
            <w:r w:rsidR="00545466">
              <w:t>, including</w:t>
            </w:r>
            <w:r w:rsidR="000A036A" w:rsidRPr="000A036A">
              <w:t xml:space="preserve"> </w:t>
            </w:r>
            <w:r w:rsidR="000A036A" w:rsidRPr="009032C0">
              <w:t>myocardial infarction</w:t>
            </w:r>
            <w:r w:rsidR="00D84EBB" w:rsidRPr="00221506">
              <w:t>,</w:t>
            </w:r>
            <w:r w:rsidR="00BD61B8">
              <w:t xml:space="preserve"> </w:t>
            </w:r>
            <w:r w:rsidR="000A036A" w:rsidRPr="009032C0">
              <w:t>stroke</w:t>
            </w:r>
            <w:r w:rsidR="000C31F6">
              <w:t>,</w:t>
            </w:r>
            <w:r w:rsidR="00D84EBB">
              <w:t xml:space="preserve"> and hospitalization for unstable angina or revascularization procedures</w:t>
            </w:r>
            <w:r w:rsidR="000A036A">
              <w:t>. The primary exposure is PTSD. D</w:t>
            </w:r>
            <w:r w:rsidR="000A036A" w:rsidRPr="000A036A">
              <w:t>iabetes</w:t>
            </w:r>
            <w:r w:rsidR="000A036A">
              <w:t xml:space="preserve">, hypertension and </w:t>
            </w:r>
            <w:r w:rsidR="00D84EBB" w:rsidRPr="000A036A">
              <w:t>dyslipidemia</w:t>
            </w:r>
            <w:r w:rsidR="000A036A">
              <w:t xml:space="preserve"> are mediators. The outcome, exposure and mediators will be defined based on </w:t>
            </w:r>
            <w:r w:rsidR="00545466">
              <w:t>clinical results</w:t>
            </w:r>
            <w:r w:rsidR="000C31F6">
              <w:t>,</w:t>
            </w:r>
            <w:r w:rsidR="00545466">
              <w:t xml:space="preserve"> and </w:t>
            </w:r>
            <w:r w:rsidR="000A036A">
              <w:t>ICD</w:t>
            </w:r>
            <w:r w:rsidR="000C31F6">
              <w:t>-</w:t>
            </w:r>
            <w:r w:rsidR="000A036A">
              <w:t>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2382379D" w:rsidR="009A4A05" w:rsidRDefault="009A4A05" w:rsidP="00433FDA">
      <w:pPr>
        <w:jc w:val="both"/>
      </w:pPr>
      <w:r>
        <w:t>Two pathways might explain the increased incidence of CVD in persons with PTSD. PTSD can lead to unhealthy behaviours such as substance use, physical inactivity, sleep disorders</w:t>
      </w:r>
      <w:r w:rsidR="00433FDA">
        <w:t xml:space="preserve"> </w: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8B560D">
        <w:t>An a</w:t>
      </w:r>
      <w:r>
        <w:t>lternative explanation</w:t>
      </w:r>
      <w:r w:rsidR="008B560D">
        <w:t xml:space="preserve"> is</w:t>
      </w:r>
      <w:r>
        <w:t xml:space="preserve"> that PTSD </w:t>
      </w:r>
      <w:r w:rsidR="00365BEC">
        <w:t xml:space="preserve">causes </w:t>
      </w:r>
      <w:r>
        <w:t>an</w:t>
      </w:r>
      <w:r w:rsidR="00365BEC">
        <w:t xml:space="preserve"> effect in several physiological mechanisms </w:t>
      </w:r>
      <w:r>
        <w:t xml:space="preserve">that can cause </w:t>
      </w:r>
      <w:r w:rsidR="004B7138">
        <w:t>major adverse cardiovascular events (MACE)</w:t>
      </w:r>
      <w:r w:rsidR="00365BEC">
        <w:t>,</w:t>
      </w:r>
      <w:r w:rsidR="004B7138">
        <w:t xml:space="preserve"> </w:t>
      </w:r>
      <w:r>
        <w:t xml:space="preserve">such as myocardial infarction, unstable angina </w:t>
      </w:r>
      <w:r w:rsidR="004B7138">
        <w:t xml:space="preserve">or </w:t>
      </w:r>
      <w:r>
        <w:t>stroke</w:t>
      </w:r>
      <w:r w:rsidR="00365BEC">
        <w:t xml:space="preserve">. These mechanisms include inflammation, </w:t>
      </w:r>
      <w:r w:rsidR="00365BEC" w:rsidRPr="00221506">
        <w:t>hypothalamic–pituitary–adrenal</w:t>
      </w:r>
      <w:r w:rsidR="00365BEC">
        <w:t xml:space="preserve"> axis dysregulation and autonomic nervous system imbalances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AE4AC2">
        <w:t xml:space="preserve">Moreover, </w:t>
      </w:r>
      <w:r w:rsidR="00F9626E">
        <w:t>the presence of risk factors, such as obesity</w:t>
      </w:r>
      <w:r w:rsidR="00E44B57">
        <w:t>, hypertension</w:t>
      </w:r>
      <w:r w:rsidR="000063FE">
        <w:t>, diabetes</w:t>
      </w:r>
      <w:r w:rsidR="00031A0B">
        <w:t xml:space="preserve">, </w:t>
      </w:r>
      <w:r w:rsidR="000063FE">
        <w:t>dyslipidaemia</w:t>
      </w:r>
      <w:r w:rsidR="00E44B57">
        <w:t>,</w:t>
      </w:r>
      <w:r w:rsidR="00031A0B">
        <w:t xml:space="preserve"> and inflammation</w:t>
      </w:r>
      <w:r w:rsidR="00CE21C8">
        <w:t xml:space="preserve"> increases the risk of both PTSD and MACE </w:t>
      </w:r>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r w:rsidR="00031A0B">
        <w:t>.</w:t>
      </w:r>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221506">
      <w:pPr>
        <w:pStyle w:val="ListParagraph"/>
        <w:numPr>
          <w:ilvl w:val="0"/>
          <w:numId w:val="12"/>
        </w:numPr>
        <w:spacing w:before="60" w:after="60"/>
      </w:pPr>
      <w:r w:rsidRPr="00A25C1B">
        <w:t xml:space="preserve">To </w:t>
      </w:r>
      <w:r>
        <w:t>examine the cumulative incidence and factors associated with PTSD</w:t>
      </w:r>
    </w:p>
    <w:p w14:paraId="59E79CCA" w14:textId="77777777" w:rsidR="00D81769" w:rsidRDefault="00D81769" w:rsidP="00221506">
      <w:pPr>
        <w:pStyle w:val="ListParagraph"/>
        <w:numPr>
          <w:ilvl w:val="0"/>
          <w:numId w:val="12"/>
        </w:numPr>
        <w:spacing w:before="60" w:after="60"/>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221506">
      <w:pPr>
        <w:pStyle w:val="ListParagraph"/>
        <w:numPr>
          <w:ilvl w:val="0"/>
          <w:numId w:val="12"/>
        </w:numPr>
        <w:spacing w:before="60" w:after="60"/>
      </w:pPr>
      <w:r>
        <w:t>To examine factors associated with CVD risk factors and MACE</w:t>
      </w:r>
    </w:p>
    <w:p w14:paraId="59425CAC" w14:textId="77777777" w:rsidR="00D81769" w:rsidRDefault="00D81769" w:rsidP="00221506">
      <w:pPr>
        <w:pStyle w:val="ListParagraph"/>
        <w:numPr>
          <w:ilvl w:val="0"/>
          <w:numId w:val="12"/>
        </w:numPr>
        <w:spacing w:before="60" w:after="60"/>
      </w:pPr>
      <w:r>
        <w:t xml:space="preserve">To examine PTSD as a causal risk factor for MACE (total effect)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666F931"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r w:rsidR="002053ED">
        <w:t xml:space="preserve">so too might </w:t>
      </w:r>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835547">
        <w:t>MACE</w:t>
      </w:r>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2CBF779D" w:rsidR="009A4A05" w:rsidRPr="00A97C15" w:rsidRDefault="009A4A05" w:rsidP="000C31F6">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14D2B077" w:rsidR="009A4A05" w:rsidRDefault="00AA2A53">
      <w:pPr>
        <w:spacing w:before="60" w:after="60"/>
        <w:jc w:val="both"/>
      </w:pPr>
      <w:r>
        <w:t xml:space="preserve">We will consider the following psychiatric comorbidities: </w:t>
      </w:r>
      <w:r w:rsidR="00661D5E">
        <w:t>substance use disorder</w:t>
      </w:r>
      <w:r w:rsidR="00674824">
        <w:t>s</w:t>
      </w:r>
      <w:r w:rsidR="00661D5E">
        <w:t xml:space="preserve"> (F10-F16, F18-F19), </w:t>
      </w:r>
      <w:r w:rsidR="00423088">
        <w:t>major depressive disorder</w:t>
      </w:r>
      <w:r w:rsidR="00FB47B0">
        <w:t xml:space="preserve"> (</w:t>
      </w:r>
      <w:r w:rsidR="009A4A05">
        <w:t>F3</w:t>
      </w:r>
      <w:r w:rsidR="00FB47B0">
        <w:t>2</w:t>
      </w:r>
      <w:r w:rsidR="00674824">
        <w:t>-F3</w:t>
      </w:r>
      <w:r w:rsidR="00FB47B0">
        <w:t>3</w:t>
      </w:r>
      <w:r w:rsidR="00674824">
        <w:t xml:space="preserve">), </w:t>
      </w:r>
      <w:r w:rsidR="00BD61B8">
        <w:t xml:space="preserve">psychotic disorders (F20-F29), </w:t>
      </w:r>
      <w:r w:rsidR="00674824">
        <w:t xml:space="preserve">anxiety disorders (F40-F48, excluding PTSD [F43.1], </w:t>
      </w:r>
      <w:r w:rsidR="00BD61B8">
        <w:t xml:space="preserve">and </w:t>
      </w:r>
      <w:r w:rsidR="0096064F">
        <w:t>sleep disorders (F51, G47)</w:t>
      </w:r>
      <w:r w:rsidR="00BD61B8">
        <w:t>.</w:t>
      </w:r>
      <w:r w:rsidR="00423088">
        <w:t xml:space="preserve"> </w:t>
      </w:r>
    </w:p>
    <w:p w14:paraId="0366E167" w14:textId="1CE1D2EF" w:rsidR="00D978B0" w:rsidRDefault="00D978B0" w:rsidP="00423088">
      <w:pPr>
        <w:spacing w:before="60" w:after="60"/>
        <w:jc w:val="both"/>
      </w:pPr>
    </w:p>
    <w:p w14:paraId="1E65DC3D" w14:textId="5C57B63B" w:rsidR="00D978B0" w:rsidRDefault="00D978B0">
      <w:pPr>
        <w:spacing w:before="60" w:after="60"/>
        <w:jc w:val="both"/>
      </w:pPr>
      <w:r w:rsidRPr="00221506">
        <w:rPr>
          <w:b/>
          <w:bCs/>
        </w:rPr>
        <w:t>Psychiatric medication</w:t>
      </w:r>
      <w:r>
        <w:t xml:space="preserve"> will be included through pharmacy claims for </w:t>
      </w:r>
      <w:r w:rsidR="007D5D68">
        <w:t xml:space="preserve">antipsychotics </w:t>
      </w:r>
      <w:r w:rsidR="007D5D68" w:rsidRPr="00A93E2C">
        <w:t>(</w:t>
      </w:r>
      <w:r w:rsidR="00A93E2C" w:rsidRPr="00221506">
        <w:t xml:space="preserve">ATC </w:t>
      </w:r>
      <w:r w:rsidR="007D5D68" w:rsidRPr="00A93E2C">
        <w:t xml:space="preserve">codes </w:t>
      </w:r>
      <w:r w:rsidR="00A93E2C" w:rsidRPr="00221506">
        <w:t xml:space="preserve">N05AA – </w:t>
      </w:r>
      <w:commentRangeStart w:id="0"/>
      <w:r w:rsidR="00A93E2C" w:rsidRPr="00221506">
        <w:t>N05AX</w:t>
      </w:r>
      <w:commentRangeEnd w:id="0"/>
      <w:r w:rsidR="000C31F6">
        <w:rPr>
          <w:rStyle w:val="CommentReference"/>
        </w:rPr>
        <w:commentReference w:id="0"/>
      </w:r>
      <w:r w:rsidR="007D5D68" w:rsidRPr="00A93E2C">
        <w:t>)</w:t>
      </w:r>
      <w:r w:rsidR="00A93E2C">
        <w:t>.</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commentRangeStart w:id="1"/>
      <w:r w:rsidR="00584470">
        <w:rPr>
          <w:iCs/>
          <w:u w:val="single"/>
        </w:rPr>
        <w:t>3</w:t>
      </w:r>
      <w:commentRangeEnd w:id="1"/>
      <w:r w:rsidR="000C31F6">
        <w:rPr>
          <w:rStyle w:val="CommentReference"/>
        </w:rPr>
        <w:commentReference w:id="1"/>
      </w:r>
      <w:r>
        <w:rPr>
          <w:iCs/>
        </w:rPr>
        <w:t xml:space="preserve">). </w:t>
      </w:r>
    </w:p>
    <w:p w14:paraId="5C4E14A7" w14:textId="77777777" w:rsidR="009A4A05" w:rsidRDefault="009A4A05" w:rsidP="002F3E5D">
      <w:pPr>
        <w:spacing w:before="60" w:after="60"/>
        <w:jc w:val="both"/>
        <w:rPr>
          <w:b/>
        </w:rPr>
      </w:pPr>
    </w:p>
    <w:p w14:paraId="3A7B4148" w14:textId="168A1CB1" w:rsidR="009A4A05" w:rsidRPr="00D41534" w:rsidRDefault="009A4A05" w:rsidP="000C31F6">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sidR="000C31F6">
        <w:rPr>
          <w:iCs/>
        </w:rPr>
        <w:t xml:space="preserve"> </w:t>
      </w:r>
      <w:r w:rsidR="000C31F6">
        <w:rPr>
          <w:iCs/>
        </w:rPr>
        <w:fldChar w:fldCharType="begin"/>
      </w:r>
      <w:r w:rsidR="000C31F6">
        <w:rPr>
          <w:iCs/>
        </w:rPr>
        <w:instrText xml:space="preserve"> ADDIN EN.CITE &lt;EndNote&gt;&lt;Cite&gt;&lt;Author&gt;American Diabetes&lt;/Author&gt;&lt;Year&gt;2021&lt;/Year&gt;&lt;RecNum&gt;2182&lt;/RecNum&gt;&lt;DisplayText&gt;(17)&lt;/DisplayText&gt;&lt;record&gt;&lt;rec-number&gt;2182&lt;/rec-number&gt;&lt;foreign-keys&gt;&lt;key app="EN" db-id="tzwaw5zvr52t9rea59ivxsfhpteaz2dvexza" timestamp="1658828952"&gt;2182&lt;/key&gt;&lt;/foreign-keys&gt;&lt;ref-type name="Journal Article"&gt;17&lt;/ref-type&gt;&lt;contributors&gt;&lt;authors&gt;&lt;author&gt;American Diabetes, Association&lt;/author&gt;&lt;/authors&gt;&lt;/contributors&gt;&lt;titles&gt;&lt;title&gt;2. Classification and Diagnosis of Diabetes: Standards of Medical Care in Diabetes-2021&lt;/title&gt;&lt;secondary-title&gt;Diabetes Care&lt;/secondary-title&gt;&lt;/titles&gt;&lt;periodical&gt;&lt;full-title&gt;Diabetes Care&lt;/full-title&gt;&lt;/periodical&gt;&lt;pages&gt;S15-S33&lt;/pages&gt;&lt;volume&gt;44&lt;/volume&gt;&lt;number&gt;Suppl 1&lt;/number&gt;&lt;edition&gt;2020/12/11&lt;/edition&gt;&lt;keywords&gt;&lt;keyword&gt;*Diabetes Mellitus/diagnosis/therapy&lt;/keyword&gt;&lt;keyword&gt;*Endocrinology&lt;/keyword&gt;&lt;keyword&gt;Humans&lt;/keyword&gt;&lt;keyword&gt;Reference Standards&lt;/keyword&gt;&lt;keyword&gt;Societies, Medical&lt;/keyword&gt;&lt;keyword&gt;Standard of Care&lt;/keyword&gt;&lt;/keywords&gt;&lt;dates&gt;&lt;year&gt;2021&lt;/year&gt;&lt;pub-dates&gt;&lt;date&gt;Jan&lt;/date&gt;&lt;/pub-dates&gt;&lt;/dates&gt;&lt;isbn&gt;1935-5548 (Electronic)&amp;#xD;0149-5992 (Linking)&lt;/isbn&gt;&lt;accession-num&gt;33298413&lt;/accession-num&gt;&lt;urls&gt;&lt;related-urls&gt;&lt;url&gt;https://www.ncbi.nlm.nih.gov/pubmed/33298413&lt;/url&gt;&lt;/related-urls&gt;&lt;/urls&gt;&lt;electronic-resource-num&gt;10.2337/dc21-S002&lt;/electronic-resource-num&gt;&lt;/record&gt;&lt;/Cite&gt;&lt;/EndNote&gt;</w:instrText>
      </w:r>
      <w:r w:rsidR="000C31F6">
        <w:rPr>
          <w:iCs/>
        </w:rPr>
        <w:fldChar w:fldCharType="separate"/>
      </w:r>
      <w:r w:rsidR="000C31F6">
        <w:rPr>
          <w:iCs/>
          <w:noProof/>
        </w:rPr>
        <w:t>(17)</w:t>
      </w:r>
      <w:r w:rsidR="000C31F6">
        <w:rPr>
          <w:iCs/>
        </w:rPr>
        <w:fldChar w:fldCharType="end"/>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commentRangeStart w:id="2"/>
      <w:commentRangeStart w:id="3"/>
      <w:r w:rsidR="00584470">
        <w:rPr>
          <w:iCs/>
          <w:u w:val="single"/>
        </w:rPr>
        <w:t>5</w:t>
      </w:r>
      <w:commentRangeEnd w:id="2"/>
      <w:r w:rsidR="003B2488">
        <w:rPr>
          <w:rStyle w:val="CommentReference"/>
        </w:rPr>
        <w:commentReference w:id="2"/>
      </w:r>
      <w:commentRangeEnd w:id="3"/>
      <w:r w:rsidR="003B2488">
        <w:rPr>
          <w:rStyle w:val="CommentReference"/>
        </w:rPr>
        <w:commentReference w:id="3"/>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23B1A9FF" w14:textId="31D7346B" w:rsidR="00871C33" w:rsidRDefault="009A4A05">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3B6EFE3" w14:textId="77777777" w:rsidR="00871C33" w:rsidRDefault="00871C33" w:rsidP="008D2EB4">
      <w:pPr>
        <w:spacing w:before="60" w:after="60"/>
        <w:jc w:val="both"/>
        <w:rPr>
          <w:b/>
        </w:rPr>
      </w:pPr>
    </w:p>
    <w:p w14:paraId="304E0FC3" w14:textId="71D356D4" w:rsidR="008D2EB4" w:rsidRDefault="008D2EB4" w:rsidP="008D2EB4">
      <w:pPr>
        <w:spacing w:before="60" w:after="60"/>
        <w:jc w:val="both"/>
        <w:rPr>
          <w:b/>
        </w:rPr>
      </w:pPr>
      <w:r>
        <w:rPr>
          <w:b/>
        </w:rPr>
        <w:t xml:space="preserve">Sociodemographic characteristics </w:t>
      </w:r>
    </w:p>
    <w:p w14:paraId="5376FFEC" w14:textId="2802CB5C" w:rsidR="00DC2835" w:rsidRDefault="008D2EB4">
      <w:pPr>
        <w:spacing w:before="60" w:after="60"/>
        <w:jc w:val="both"/>
      </w:pPr>
      <w:r>
        <w:lastRenderedPageBreak/>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3DBF871A" w14:textId="362C51FC" w:rsidR="008D2EB4" w:rsidRDefault="00DC2835" w:rsidP="008D2EB4">
      <w:pPr>
        <w:spacing w:before="60" w:after="60"/>
        <w:jc w:val="both"/>
        <w:rPr>
          <w:b/>
        </w:rPr>
      </w:pPr>
      <w:r w:rsidRPr="00123CB2">
        <w:rPr>
          <w:b/>
        </w:rPr>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3DAED8F9"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rsidR="000B245A">
        <w:t xml:space="preserve">and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2C488592"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835547">
        <w:rPr>
          <w:lang w:val="en-US"/>
        </w:rPr>
        <w:t xml:space="preserve">persons </w:t>
      </w:r>
      <w:r w:rsidR="00096D6E">
        <w:rPr>
          <w:lang w:val="en-US"/>
        </w:rPr>
        <w:t>with and without PTSD</w:t>
      </w:r>
      <w:r w:rsidR="00966345">
        <w:rPr>
          <w:lang w:val="en-US"/>
        </w:rPr>
        <w:t xml:space="preserve">, </w:t>
      </w:r>
      <w:r w:rsidR="00B729B6" w:rsidRPr="00B729B6">
        <w:rPr>
          <w:lang w:val="en-US"/>
        </w:rPr>
        <w:t>taking into account the time-varying nature of exposure</w:t>
      </w:r>
      <w:r w:rsidR="00835547">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r w:rsidR="00835547">
        <w:rPr>
          <w:lang w:val="en-US"/>
        </w:rPr>
        <w:t>We will also estimate the sex-specific cumulative incidence of cardiovascular risk factors and MACE.</w:t>
      </w:r>
    </w:p>
    <w:p w14:paraId="734D1D70" w14:textId="77777777" w:rsidR="002C407C" w:rsidRDefault="002C407C" w:rsidP="00966345">
      <w:pPr>
        <w:spacing w:before="60" w:after="60"/>
        <w:jc w:val="both"/>
        <w:rPr>
          <w:lang w:val="en-US"/>
        </w:rPr>
      </w:pPr>
    </w:p>
    <w:p w14:paraId="3DB876A5" w14:textId="296613EB"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w:t>
      </w:r>
      <w:r w:rsidR="000B245A">
        <w:rPr>
          <w:lang w:val="en-US"/>
        </w:rPr>
        <w:t xml:space="preserve"> status</w:t>
      </w:r>
      <w:r w:rsidR="003005BD">
        <w:rPr>
          <w:lang w:val="en-US"/>
        </w:rPr>
        <w:t>, psychiatric comorbidity</w:t>
      </w:r>
      <w:r w:rsidR="00094787">
        <w:rPr>
          <w:lang w:val="en-US"/>
        </w:rPr>
        <w:t xml:space="preserve"> and medication</w:t>
      </w:r>
      <w:r w:rsidR="003005BD">
        <w:rPr>
          <w:lang w:val="en-US"/>
        </w:rPr>
        <w:t xml:space="preserve"> and CVD risk factors. </w:t>
      </w:r>
    </w:p>
    <w:p w14:paraId="62028C33" w14:textId="77777777" w:rsidR="003005BD" w:rsidRDefault="003005BD" w:rsidP="00D75712">
      <w:pPr>
        <w:spacing w:before="60" w:after="60"/>
        <w:jc w:val="both"/>
        <w:rPr>
          <w:i/>
          <w:u w:val="single"/>
        </w:rPr>
      </w:pPr>
    </w:p>
    <w:p w14:paraId="1460406B" w14:textId="3D650A55" w:rsidR="00B729B6" w:rsidRDefault="00A7261D">
      <w:pPr>
        <w:spacing w:before="60" w:after="60"/>
        <w:jc w:val="both"/>
        <w:rPr>
          <w:iCs/>
        </w:rPr>
      </w:pPr>
      <w:r w:rsidRPr="00E35C15">
        <w:rPr>
          <w:b/>
          <w:lang w:val="en-US"/>
        </w:rPr>
        <w:t>Ob</w:t>
      </w:r>
      <w:r>
        <w:rPr>
          <w:b/>
          <w:lang w:val="en-US"/>
        </w:rPr>
        <w:t>jective 4</w:t>
      </w:r>
      <w:r w:rsidRPr="00E35C15">
        <w:rPr>
          <w:b/>
          <w:lang w:val="en-US"/>
        </w:rPr>
        <w:t>:</w:t>
      </w:r>
      <w:r>
        <w:rPr>
          <w:lang w:val="en-US"/>
        </w:rPr>
        <w:t xml:space="preserve"> </w:t>
      </w:r>
      <w:r w:rsidR="00551289" w:rsidRPr="00551289">
        <w:rPr>
          <w:iCs/>
        </w:rPr>
        <w:t xml:space="preserve">The </w:t>
      </w:r>
      <w:r w:rsidR="00A93E2C" w:rsidRPr="00551289">
        <w:rPr>
          <w:iCs/>
        </w:rPr>
        <w:t>analys</w:t>
      </w:r>
      <w:r w:rsidR="00A93E2C">
        <w:rPr>
          <w:iCs/>
        </w:rPr>
        <w:t>is</w:t>
      </w:r>
      <w:r w:rsidR="00A93E2C" w:rsidRPr="00551289">
        <w:rPr>
          <w:iCs/>
        </w:rPr>
        <w:t xml:space="preserve">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r w:rsidR="00B35499" w:rsidRPr="00DA7228">
        <w:rPr>
          <w:iCs/>
        </w:rPr>
        <w:t xml:space="preserve">The total effect of PTSD on the risk of </w:t>
      </w:r>
      <w:r w:rsidR="00DC2835">
        <w:rPr>
          <w:iCs/>
        </w:rPr>
        <w:t>experiencing a</w:t>
      </w:r>
      <w:r w:rsidR="00B35499" w:rsidRPr="00DA7228">
        <w:rPr>
          <w:iCs/>
        </w:rPr>
        <w:t xml:space="preserve"> </w:t>
      </w:r>
      <w:r w:rsidR="00B513C4">
        <w:rPr>
          <w:iCs/>
        </w:rPr>
        <w:t>MACE</w:t>
      </w:r>
      <w:r w:rsidR="00B513C4"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w:t>
      </w:r>
      <w:r w:rsidR="000B245A">
        <w:rPr>
          <w:iCs/>
        </w:rPr>
        <w:t xml:space="preserve"> and</w:t>
      </w:r>
      <w:bookmarkStart w:id="4" w:name="_GoBack"/>
      <w:bookmarkEnd w:id="4"/>
      <w:r w:rsidR="007601F6">
        <w:rPr>
          <w:iCs/>
        </w:rPr>
        <w:t xml:space="preserve"> confounders.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 xml:space="preserve">the analysis of the database. </w:t>
      </w:r>
      <w:r w:rsidRPr="00EA460E">
        <w:lastRenderedPageBreak/>
        <w:t>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0F714E4A" w14:textId="77777777" w:rsidR="000C31F6" w:rsidRPr="000C31F6" w:rsidRDefault="009A4A05" w:rsidP="000C31F6">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0C31F6" w:rsidRPr="000C31F6">
        <w:t>1.</w:t>
      </w:r>
      <w:r w:rsidR="000C31F6" w:rsidRPr="000C31F6">
        <w:tab/>
        <w:t>O'Donnell CJ, Schwartz Longacre L, Cohen BE, Fayad ZA, Gillespie CF, Liberzon I, et al. Posttraumatic Stress Disorder and Cardiovascular Disease: State of the Science, Knowledge Gaps, and Research Opportunities. JAMA Cardiol. 2021;6(10):1207-16.</w:t>
      </w:r>
    </w:p>
    <w:p w14:paraId="342C0E80" w14:textId="77777777" w:rsidR="000C31F6" w:rsidRPr="000C31F6" w:rsidRDefault="000C31F6" w:rsidP="000C31F6">
      <w:pPr>
        <w:pStyle w:val="EndNoteBibliography"/>
      </w:pPr>
      <w:r w:rsidRPr="000C31F6">
        <w:t>2.</w:t>
      </w:r>
      <w:r w:rsidRPr="000C31F6">
        <w:tab/>
        <w:t>Edmondson D, von Kanel R. Post-traumatic stress disorder and cardiovascular disease. Lancet Psychiatry. 2017;4(4):320-9.</w:t>
      </w:r>
    </w:p>
    <w:p w14:paraId="012133DD" w14:textId="77777777" w:rsidR="000C31F6" w:rsidRPr="000C31F6" w:rsidRDefault="000C31F6" w:rsidP="000C31F6">
      <w:pPr>
        <w:pStyle w:val="EndNoteBibliography"/>
      </w:pPr>
      <w:r w:rsidRPr="000C31F6">
        <w:t>3.</w:t>
      </w:r>
      <w:r w:rsidRPr="000C31F6">
        <w:tab/>
        <w:t>Jacquet-Smailovic M, Brennsthul MJ, Denis I, Kirche A, Tarquinio C, Tarquinio C. Relationship between Post-traumatic Stress Disorder and subsequent myocardial infarction: a systematic review and meta-analysis. J Affect Disord. 2022;297:525-35.</w:t>
      </w:r>
    </w:p>
    <w:p w14:paraId="50EA7BFA" w14:textId="77777777" w:rsidR="000C31F6" w:rsidRPr="000C31F6" w:rsidRDefault="000C31F6" w:rsidP="000C31F6">
      <w:pPr>
        <w:pStyle w:val="EndNoteBibliography"/>
      </w:pPr>
      <w:r w:rsidRPr="000C31F6">
        <w:t>4.</w:t>
      </w:r>
      <w:r w:rsidRPr="000C31F6">
        <w:tab/>
        <w:t>Scherrer JF, Salas J, Cohen BE, Schnurr PP, Schneider FD, Chard KM, et al. Comorbid Conditions Explain the Association Between Posttraumatic Stress Disorder and Incident Cardiovascular Disease. J Am Heart Assoc. 2019;8(4):e011133.</w:t>
      </w:r>
    </w:p>
    <w:p w14:paraId="5EBB56D6" w14:textId="77777777" w:rsidR="000C31F6" w:rsidRPr="000C31F6" w:rsidRDefault="000C31F6" w:rsidP="000C31F6">
      <w:pPr>
        <w:pStyle w:val="EndNoteBibliography"/>
      </w:pPr>
      <w:r w:rsidRPr="000C31F6">
        <w:t>5.</w:t>
      </w:r>
      <w:r w:rsidRPr="000C31F6">
        <w:tab/>
        <w:t>Perkins JD, Wilkins SS, Kamran S, Shuaib A. Post-traumatic stress disorder and its association with stroke and stroke risk factors: A literature review. Neurobiol Stress. 2021;14:100332.</w:t>
      </w:r>
    </w:p>
    <w:p w14:paraId="50FEBD25" w14:textId="77777777" w:rsidR="000C31F6" w:rsidRPr="000C31F6" w:rsidRDefault="000C31F6" w:rsidP="000C31F6">
      <w:pPr>
        <w:pStyle w:val="EndNoteBibliography"/>
      </w:pPr>
      <w:r w:rsidRPr="000C31F6">
        <w:t>6.</w:t>
      </w:r>
      <w:r w:rsidRPr="000C31F6">
        <w:tab/>
        <w:t>Polimanti R, Ratanatharathorn A, Maihofer AX, Choi KW, Stein MB, Morey RA, et al. Association of Economic Status and Educational Attainment With Posttraumatic Stress Disorder: A Mendelian Randomization Study. JAMA Netw Open. 2019;2(5):e193447.</w:t>
      </w:r>
    </w:p>
    <w:p w14:paraId="5C12B45D" w14:textId="77777777" w:rsidR="000C31F6" w:rsidRPr="000C31F6" w:rsidRDefault="000C31F6" w:rsidP="000C31F6">
      <w:pPr>
        <w:pStyle w:val="EndNoteBibliography"/>
      </w:pPr>
      <w:r w:rsidRPr="000C31F6">
        <w:t>7.</w:t>
      </w:r>
      <w:r w:rsidRPr="000C31F6">
        <w:tab/>
        <w:t>Assari S. Social Determinants of Depression: The Intersections of Race, Gender, and Socioeconomic Status. Brain Sci. 2017;7(12).</w:t>
      </w:r>
    </w:p>
    <w:p w14:paraId="4159B99B" w14:textId="77777777" w:rsidR="000C31F6" w:rsidRPr="000C31F6" w:rsidRDefault="000C31F6" w:rsidP="000C31F6">
      <w:pPr>
        <w:pStyle w:val="EndNoteBibliography"/>
      </w:pPr>
      <w:r w:rsidRPr="000C31F6">
        <w:t>8.</w:t>
      </w:r>
      <w:r w:rsidRPr="000C31F6">
        <w:tab/>
        <w:t>Mukong AK, Van Walbeek C, Ross H. Lifestyle and Income-related Inequality in Health in South Africa. Int J Equity Health. 2017;16(1):103.</w:t>
      </w:r>
    </w:p>
    <w:p w14:paraId="2BE2B721" w14:textId="77777777" w:rsidR="000C31F6" w:rsidRPr="000C31F6" w:rsidRDefault="000C31F6" w:rsidP="000C31F6">
      <w:pPr>
        <w:pStyle w:val="EndNoteBibliography"/>
      </w:pPr>
      <w:r w:rsidRPr="000C31F6">
        <w:t>9.</w:t>
      </w:r>
      <w:r w:rsidRPr="000C31F6">
        <w:tab/>
        <w:t>Zhang YB, Pan XF, Chen J, Cao A, Xia L, Zhang Y, et al. Combined lifestyle factors, all-cause mortality and cardiovascular disease: a systematic review and meta-analysis of prospective cohort studies. J Epidemiol Community Health. 2021;75(1):92-9.</w:t>
      </w:r>
    </w:p>
    <w:p w14:paraId="5922BB60" w14:textId="77777777" w:rsidR="000C31F6" w:rsidRPr="000C31F6" w:rsidRDefault="000C31F6" w:rsidP="000C31F6">
      <w:pPr>
        <w:pStyle w:val="EndNoteBibliography"/>
      </w:pPr>
      <w:r w:rsidRPr="000C31F6">
        <w:t>10.</w:t>
      </w:r>
      <w:r w:rsidRPr="000C31F6">
        <w:tab/>
        <w:t>Mabaso M, Makola L, Naidoo I, Mlangeni LL, Jooste S, Simbayi L. HIV prevalence in South Africa through gender and racial lenses: results from the 2012 population-based national household survey. Int J Equity Health. 2019;18(1):167.</w:t>
      </w:r>
    </w:p>
    <w:p w14:paraId="2603893D" w14:textId="77777777" w:rsidR="000C31F6" w:rsidRPr="000C31F6" w:rsidRDefault="000C31F6" w:rsidP="000C31F6">
      <w:pPr>
        <w:pStyle w:val="EndNoteBibliography"/>
      </w:pPr>
      <w:r w:rsidRPr="000C31F6">
        <w:t>11.</w:t>
      </w:r>
      <w:r w:rsidRPr="000C31F6">
        <w:tab/>
        <w:t>Hyle EP, Mayosi BM, Middelkoop K, Mosepele M, Martey EB, Walensky RP, et al. The association between HIV and atherosclerotic cardiovascular disease in sub-Saharan Africa: a systematic review. BMC Public Health. 2017;17(1):954.</w:t>
      </w:r>
    </w:p>
    <w:p w14:paraId="6E9B2F13" w14:textId="77777777" w:rsidR="000C31F6" w:rsidRPr="000C31F6" w:rsidRDefault="000C31F6" w:rsidP="000C31F6">
      <w:pPr>
        <w:pStyle w:val="EndNoteBibliography"/>
      </w:pPr>
      <w:r w:rsidRPr="000C31F6">
        <w:t>12.</w:t>
      </w:r>
      <w:r w:rsidRPr="000C31F6">
        <w:tab/>
        <w:t>De Hert M, Detraux J, Vancampfort D. The intriguing relationship between coronary heart disease and mental disorders. Dialogues Clin Neurosci. 2018;20(1):31-40.</w:t>
      </w:r>
    </w:p>
    <w:p w14:paraId="3314A2B9" w14:textId="77777777" w:rsidR="000C31F6" w:rsidRPr="000C31F6" w:rsidRDefault="000C31F6" w:rsidP="000C31F6">
      <w:pPr>
        <w:pStyle w:val="EndNoteBibliography"/>
      </w:pPr>
      <w:r w:rsidRPr="000C31F6">
        <w:t>13.</w:t>
      </w:r>
      <w:r w:rsidRPr="000C31F6">
        <w:tab/>
        <w:t>Yuan N, Chen Y, Xia Y, Dai J, Liu C. Inflammation-related biomarkers in major psychiatric disorders: a cross-disorder assessment of reproducibility and specificity in 43 meta-analyses. Transl Psychiatry. 2019;9(1):233.</w:t>
      </w:r>
    </w:p>
    <w:p w14:paraId="32F27C77" w14:textId="77777777" w:rsidR="000C31F6" w:rsidRPr="000C31F6" w:rsidRDefault="000C31F6" w:rsidP="000C31F6">
      <w:pPr>
        <w:pStyle w:val="EndNoteBibliography"/>
      </w:pPr>
      <w:r w:rsidRPr="000C31F6">
        <w:t>14.</w:t>
      </w:r>
      <w:r w:rsidRPr="000C31F6">
        <w:tab/>
        <w:t>Salahuddin S, Prabhakaran D, Roy A. Pathophysiological Mechanisms of Tobacco-Related CVD. Glob Heart. 2012;7(2):113-20.</w:t>
      </w:r>
    </w:p>
    <w:p w14:paraId="1DCCD400" w14:textId="77777777" w:rsidR="000C31F6" w:rsidRPr="000C31F6" w:rsidRDefault="000C31F6" w:rsidP="000C31F6">
      <w:pPr>
        <w:pStyle w:val="EndNoteBibliography"/>
      </w:pPr>
      <w:r w:rsidRPr="000C31F6">
        <w:t>15.</w:t>
      </w:r>
      <w:r w:rsidRPr="000C31F6">
        <w:tab/>
        <w:t>Jacquet-Smailovic M, Tarquinio C, Alla F, Denis I, Kirche A, Tarquinio C, et al. Posttraumatic Stress Disorder Following Myocardial Infarction: A Systematic Review. J Trauma Stress. 2021;34(1):190-9.</w:t>
      </w:r>
    </w:p>
    <w:p w14:paraId="15BC749F" w14:textId="77777777" w:rsidR="000C31F6" w:rsidRPr="000C31F6" w:rsidRDefault="000C31F6" w:rsidP="000C31F6">
      <w:pPr>
        <w:pStyle w:val="EndNoteBibliography"/>
      </w:pPr>
      <w:r w:rsidRPr="000C31F6">
        <w:t>16.</w:t>
      </w:r>
      <w:r w:rsidRPr="000C31F6">
        <w:tab/>
        <w:t>Bosco E, Hsueh L, McConeghy KW, Gravenstein S, Saade E. Major adverse cardiovascular event definitions used in observational analysis of administrative databases: a systematic review. BMC Med Res Methodol. 2021;21(1):241.</w:t>
      </w:r>
    </w:p>
    <w:p w14:paraId="3C70CE80" w14:textId="77777777" w:rsidR="000C31F6" w:rsidRPr="000C31F6" w:rsidRDefault="000C31F6" w:rsidP="000C31F6">
      <w:pPr>
        <w:pStyle w:val="EndNoteBibliography"/>
      </w:pPr>
      <w:r w:rsidRPr="000C31F6">
        <w:t>17.</w:t>
      </w:r>
      <w:r w:rsidRPr="000C31F6">
        <w:tab/>
        <w:t>American Diabetes A. 2. Classification and Diagnosis of Diabetes: Standards of Medical Care in Diabetes-2021. Diabetes Care. 2021;44(Suppl 1):S15-S33.</w:t>
      </w:r>
    </w:p>
    <w:p w14:paraId="753FA649" w14:textId="25EE2792" w:rsidR="009A4A05" w:rsidRPr="00652447" w:rsidRDefault="009A4A05" w:rsidP="000C31F6">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58B00065" w:rsidR="009F7C64" w:rsidRDefault="00610DB4" w:rsidP="00610DB4">
      <w:pPr>
        <w:jc w:val="both"/>
      </w:pPr>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5">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14446" w14:textId="6A1B259A" w:rsidR="00123CB2" w:rsidRDefault="00123CB2" w:rsidP="001C5EDD">
      <w:pPr>
        <w:jc w:val="both"/>
      </w:pPr>
    </w:p>
    <w:p w14:paraId="09BA93ED" w14:textId="3C5FCBC5" w:rsidR="00871C33" w:rsidRDefault="00871C33" w:rsidP="001C5EDD">
      <w:pPr>
        <w:jc w:val="both"/>
      </w:pPr>
    </w:p>
    <w:p w14:paraId="333CBA6B" w14:textId="77777777" w:rsidR="00871C33" w:rsidRDefault="00871C33" w:rsidP="001C5EDD">
      <w:pPr>
        <w:jc w:val="both"/>
      </w:pPr>
    </w:p>
    <w:p w14:paraId="14E473C6" w14:textId="77777777" w:rsidR="00871C33" w:rsidRDefault="00871C33" w:rsidP="001C5EDD">
      <w:pPr>
        <w:jc w:val="both"/>
      </w:pPr>
    </w:p>
    <w:p w14:paraId="22C31FBA" w14:textId="77777777" w:rsidR="00871C33" w:rsidRDefault="00871C33" w:rsidP="001C5EDD">
      <w:pPr>
        <w:jc w:val="both"/>
      </w:pPr>
    </w:p>
    <w:p w14:paraId="7E1DDDB1" w14:textId="77777777" w:rsidR="00871C33" w:rsidRDefault="00871C33" w:rsidP="001C5EDD">
      <w:pPr>
        <w:jc w:val="both"/>
      </w:pPr>
    </w:p>
    <w:p w14:paraId="4C31CBA4" w14:textId="77777777" w:rsidR="00871C33" w:rsidRDefault="00871C33" w:rsidP="001C5EDD">
      <w:pPr>
        <w:jc w:val="both"/>
      </w:pPr>
    </w:p>
    <w:p w14:paraId="141F50EA" w14:textId="77777777" w:rsidR="00871C33" w:rsidRDefault="00871C33" w:rsidP="001C5EDD">
      <w:pPr>
        <w:jc w:val="both"/>
      </w:pPr>
    </w:p>
    <w:p w14:paraId="2BA7DCB2" w14:textId="77777777" w:rsidR="00871C33" w:rsidRDefault="00871C33" w:rsidP="001C5EDD">
      <w:pPr>
        <w:jc w:val="both"/>
      </w:pPr>
    </w:p>
    <w:p w14:paraId="2E21B5D7" w14:textId="77777777" w:rsidR="00871C33" w:rsidRDefault="00871C33" w:rsidP="001C5EDD">
      <w:pPr>
        <w:jc w:val="both"/>
      </w:pPr>
    </w:p>
    <w:p w14:paraId="4DB067CE" w14:textId="77777777" w:rsidR="00871C33" w:rsidRDefault="00871C33" w:rsidP="001C5EDD">
      <w:pPr>
        <w:jc w:val="both"/>
      </w:pPr>
    </w:p>
    <w:p w14:paraId="0E2BFB45" w14:textId="77777777" w:rsidR="00871C33" w:rsidRDefault="00871C33" w:rsidP="001C5EDD">
      <w:pPr>
        <w:jc w:val="both"/>
      </w:pPr>
    </w:p>
    <w:p w14:paraId="3CDEAF24" w14:textId="77777777" w:rsidR="00871C33" w:rsidRDefault="00871C33" w:rsidP="001C5EDD">
      <w:pPr>
        <w:jc w:val="both"/>
      </w:pPr>
    </w:p>
    <w:p w14:paraId="690C162C" w14:textId="77777777" w:rsidR="00871C33" w:rsidRDefault="00871C33" w:rsidP="001C5EDD">
      <w:pPr>
        <w:jc w:val="both"/>
      </w:pPr>
    </w:p>
    <w:p w14:paraId="254A9CFD" w14:textId="77777777" w:rsidR="00871C33" w:rsidRDefault="00871C33" w:rsidP="001C5EDD">
      <w:pPr>
        <w:jc w:val="both"/>
      </w:pPr>
    </w:p>
    <w:p w14:paraId="44B79CA8" w14:textId="32357E2C" w:rsidR="00871C33" w:rsidRDefault="00871C33" w:rsidP="001C5EDD">
      <w:pPr>
        <w:jc w:val="both"/>
      </w:pPr>
    </w:p>
    <w:p w14:paraId="493629D0" w14:textId="3DEEE382" w:rsidR="00871C33" w:rsidRDefault="00871C33" w:rsidP="001C5EDD">
      <w:pPr>
        <w:jc w:val="both"/>
      </w:pPr>
    </w:p>
    <w:p w14:paraId="109ACEFE" w14:textId="1E0394CE" w:rsidR="00871C33" w:rsidRDefault="00871C33" w:rsidP="001C5EDD">
      <w:pPr>
        <w:jc w:val="both"/>
      </w:pPr>
    </w:p>
    <w:p w14:paraId="0A7074F6" w14:textId="1743B7D8" w:rsidR="00871C33" w:rsidRDefault="00871C33" w:rsidP="001C5EDD">
      <w:pPr>
        <w:jc w:val="both"/>
      </w:pPr>
    </w:p>
    <w:p w14:paraId="1BF08EF8" w14:textId="76A98E17" w:rsidR="00871C33" w:rsidRDefault="00871C33" w:rsidP="001C5EDD">
      <w:pPr>
        <w:jc w:val="both"/>
      </w:pPr>
    </w:p>
    <w:p w14:paraId="61BD0BEE" w14:textId="2C7F81CE" w:rsidR="00871C33" w:rsidRDefault="00871C33" w:rsidP="001C5EDD">
      <w:pPr>
        <w:jc w:val="both"/>
      </w:pPr>
    </w:p>
    <w:p w14:paraId="32A3753B" w14:textId="43D53785" w:rsidR="00871C33" w:rsidRDefault="00871C33" w:rsidP="001C5EDD">
      <w:pPr>
        <w:jc w:val="both"/>
      </w:pPr>
    </w:p>
    <w:p w14:paraId="65BFB00C" w14:textId="05D1A82F" w:rsidR="00871C33" w:rsidRDefault="00871C33" w:rsidP="001C5EDD">
      <w:pPr>
        <w:jc w:val="both"/>
      </w:pPr>
    </w:p>
    <w:p w14:paraId="572DD529" w14:textId="145767AE" w:rsidR="00871C33" w:rsidRDefault="00871C33" w:rsidP="001C5EDD">
      <w:pPr>
        <w:jc w:val="both"/>
      </w:pPr>
    </w:p>
    <w:p w14:paraId="78313342" w14:textId="12885BE6" w:rsidR="00871C33" w:rsidRDefault="00871C33" w:rsidP="001C5EDD">
      <w:pPr>
        <w:jc w:val="both"/>
      </w:pPr>
    </w:p>
    <w:p w14:paraId="143A2FD8" w14:textId="174A282B" w:rsidR="00871C33" w:rsidRDefault="00871C33" w:rsidP="001C5EDD">
      <w:pPr>
        <w:jc w:val="both"/>
      </w:pPr>
    </w:p>
    <w:p w14:paraId="12F3C407" w14:textId="2CB4022F" w:rsidR="00871C33" w:rsidRDefault="00871C33" w:rsidP="001C5EDD">
      <w:pPr>
        <w:jc w:val="both"/>
      </w:pPr>
    </w:p>
    <w:p w14:paraId="10C47D0D" w14:textId="5CFE0322" w:rsidR="00871C33" w:rsidRDefault="00871C33" w:rsidP="001C5EDD">
      <w:pPr>
        <w:jc w:val="both"/>
      </w:pPr>
    </w:p>
    <w:p w14:paraId="17CB1E06" w14:textId="664B8A85" w:rsidR="00871C33" w:rsidRDefault="00871C33" w:rsidP="001C5EDD">
      <w:pPr>
        <w:jc w:val="both"/>
      </w:pPr>
    </w:p>
    <w:p w14:paraId="7B0DEEF3" w14:textId="6094C9ED" w:rsidR="00871C33" w:rsidRDefault="00871C33" w:rsidP="001C5EDD">
      <w:pPr>
        <w:jc w:val="both"/>
      </w:pPr>
    </w:p>
    <w:p w14:paraId="4713676F" w14:textId="4E73DB19" w:rsidR="00871C33" w:rsidRDefault="00871C33" w:rsidP="001C5EDD">
      <w:pPr>
        <w:jc w:val="both"/>
      </w:pPr>
    </w:p>
    <w:p w14:paraId="4DA93CC0" w14:textId="708C7673" w:rsidR="00871C33" w:rsidRDefault="00871C33" w:rsidP="001C5EDD">
      <w:pPr>
        <w:jc w:val="both"/>
      </w:pPr>
    </w:p>
    <w:p w14:paraId="57A91EC6" w14:textId="0E0E7BA8" w:rsidR="00871C33" w:rsidRDefault="00871C33" w:rsidP="001C5EDD">
      <w:pPr>
        <w:jc w:val="both"/>
      </w:pPr>
    </w:p>
    <w:p w14:paraId="5CAA9AD2" w14:textId="18024C5F" w:rsidR="00871C33" w:rsidRDefault="00871C33" w:rsidP="001C5EDD">
      <w:pPr>
        <w:jc w:val="both"/>
      </w:pPr>
    </w:p>
    <w:p w14:paraId="2B38A970" w14:textId="37C8E7C2" w:rsidR="00871C33" w:rsidRDefault="00871C33" w:rsidP="001C5EDD">
      <w:pPr>
        <w:jc w:val="both"/>
      </w:pPr>
    </w:p>
    <w:p w14:paraId="316FCE8D" w14:textId="2953BF3B" w:rsidR="00871C33" w:rsidRDefault="00871C33" w:rsidP="001C5EDD">
      <w:pPr>
        <w:jc w:val="both"/>
      </w:pPr>
    </w:p>
    <w:p w14:paraId="0CDC0344" w14:textId="6F761075" w:rsidR="00871C33" w:rsidRDefault="00871C33" w:rsidP="001C5EDD">
      <w:pPr>
        <w:jc w:val="both"/>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r w:rsidR="00871C33">
        <w:t xml:space="preserve">SU=substance use, </w:t>
      </w:r>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236007AC"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sa Vieira, Cristina (ISPM)" w:date="2022-07-26T11:42:00Z" w:initials="MVC(">
    <w:p w14:paraId="2378B630" w14:textId="027B4A15" w:rsidR="000C31F6" w:rsidRDefault="000C31F6">
      <w:pPr>
        <w:pStyle w:val="CommentText"/>
      </w:pPr>
      <w:r>
        <w:rPr>
          <w:rStyle w:val="CommentReference"/>
        </w:rPr>
        <w:annotationRef/>
      </w:r>
      <w:r>
        <w:t>Naomi: What about antidepressants and anxiolytics?</w:t>
      </w:r>
    </w:p>
  </w:comment>
  <w:comment w:id="1" w:author="Mesa Vieira, Cristina (ISPM)" w:date="2022-07-26T11:44:00Z" w:initials="MVC(">
    <w:p w14:paraId="4ED5B9D5" w14:textId="021A7311" w:rsidR="000C31F6" w:rsidRDefault="000C31F6">
      <w:pPr>
        <w:pStyle w:val="CommentText"/>
      </w:pPr>
      <w:r>
        <w:rPr>
          <w:rStyle w:val="CommentReference"/>
        </w:rPr>
        <w:annotationRef/>
      </w:r>
      <w:r>
        <w:t xml:space="preserve">Consider medication in addition to another criterion since there are people that take these medication for other reasons? </w:t>
      </w:r>
    </w:p>
  </w:comment>
  <w:comment w:id="2" w:author="Mesa Vieira, Cristina (ISPM)" w:date="2022-07-26T11:50:00Z" w:initials="MVC(">
    <w:p w14:paraId="14EA78A6" w14:textId="65131FED" w:rsidR="003B2488" w:rsidRDefault="003B2488" w:rsidP="003B2488">
      <w:pPr>
        <w:pStyle w:val="CommentText"/>
      </w:pPr>
      <w:r>
        <w:rPr>
          <w:rStyle w:val="CommentReference"/>
        </w:rPr>
        <w:annotationRef/>
      </w:r>
      <w:r>
        <w:t>v</w:t>
      </w:r>
      <w:r>
        <w:rPr>
          <w:rStyle w:val="CommentReference"/>
        </w:rPr>
        <w:annotationRef/>
      </w:r>
      <w:r>
        <w:t>Consider medication in addition to another criterion since there are people that take these</w:t>
      </w:r>
      <w:r>
        <w:t xml:space="preserve"> medication for other reasons? </w:t>
      </w:r>
    </w:p>
  </w:comment>
  <w:comment w:id="3" w:author="Mesa Vieira, Cristina (ISPM)" w:date="2022-07-26T11:51:00Z" w:initials="MVC(">
    <w:p w14:paraId="498A2E67" w14:textId="55230FE4" w:rsidR="003B2488" w:rsidRDefault="003B24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78B630" w15:done="0"/>
  <w15:commentEx w15:paraId="4ED5B9D5" w15:done="0"/>
  <w15:commentEx w15:paraId="14EA78A6" w15:done="0"/>
  <w15:commentEx w15:paraId="498A2E67" w15:paraIdParent="14EA78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9110E" w14:textId="77777777" w:rsidR="00717300" w:rsidRDefault="00717300" w:rsidP="001947AB">
      <w:r>
        <w:separator/>
      </w:r>
    </w:p>
  </w:endnote>
  <w:endnote w:type="continuationSeparator" w:id="0">
    <w:p w14:paraId="003FD908" w14:textId="77777777" w:rsidR="00717300" w:rsidRDefault="00717300"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5ADF1" w14:textId="77777777" w:rsidR="00717300" w:rsidRDefault="00717300" w:rsidP="001947AB">
      <w:r>
        <w:separator/>
      </w:r>
    </w:p>
  </w:footnote>
  <w:footnote w:type="continuationSeparator" w:id="0">
    <w:p w14:paraId="52E86D68" w14:textId="77777777" w:rsidR="00717300" w:rsidRDefault="00717300"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rgUAcNSNz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item&gt;2182&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2B3F"/>
    <w:rsid w:val="000737F5"/>
    <w:rsid w:val="00075CD6"/>
    <w:rsid w:val="00077629"/>
    <w:rsid w:val="00081E7D"/>
    <w:rsid w:val="0008376F"/>
    <w:rsid w:val="000939E6"/>
    <w:rsid w:val="00094787"/>
    <w:rsid w:val="0009495A"/>
    <w:rsid w:val="00096D6E"/>
    <w:rsid w:val="000A036A"/>
    <w:rsid w:val="000A6E47"/>
    <w:rsid w:val="000B0441"/>
    <w:rsid w:val="000B245A"/>
    <w:rsid w:val="000B50C5"/>
    <w:rsid w:val="000C0057"/>
    <w:rsid w:val="000C2473"/>
    <w:rsid w:val="000C31F6"/>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150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488"/>
    <w:rsid w:val="003B2BAE"/>
    <w:rsid w:val="003B413C"/>
    <w:rsid w:val="003C11E1"/>
    <w:rsid w:val="003C1CD2"/>
    <w:rsid w:val="003C2F6F"/>
    <w:rsid w:val="003C418C"/>
    <w:rsid w:val="003C46C7"/>
    <w:rsid w:val="003C4E23"/>
    <w:rsid w:val="003C5CD1"/>
    <w:rsid w:val="003C66F3"/>
    <w:rsid w:val="003D12CA"/>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346"/>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300"/>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B710C"/>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1954"/>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2B4E"/>
    <w:rsid w:val="00EE34E3"/>
    <w:rsid w:val="00EE3857"/>
    <w:rsid w:val="00EE5768"/>
    <w:rsid w:val="00EE7A02"/>
    <w:rsid w:val="00EF6FF6"/>
    <w:rsid w:val="00F02197"/>
    <w:rsid w:val="00F034B7"/>
    <w:rsid w:val="00F05896"/>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CD7"/>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3B93"/>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8C3C8A"/>
    <w:rsid w:val="009370EC"/>
    <w:rsid w:val="00965DFD"/>
    <w:rsid w:val="009902F8"/>
    <w:rsid w:val="00993350"/>
    <w:rsid w:val="009B3988"/>
    <w:rsid w:val="00AC5F11"/>
    <w:rsid w:val="00AD56B4"/>
    <w:rsid w:val="00CA2518"/>
    <w:rsid w:val="00CE5F1C"/>
    <w:rsid w:val="00E47597"/>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CA97F5-4DA0-4BA7-ADE8-29B6011F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6473</Words>
  <Characters>36899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2</cp:revision>
  <cp:lastPrinted>2016-08-05T07:02:00Z</cp:lastPrinted>
  <dcterms:created xsi:type="dcterms:W3CDTF">2022-07-26T10:41:00Z</dcterms:created>
  <dcterms:modified xsi:type="dcterms:W3CDTF">2022-07-26T10:41:00Z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