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79" w:rsidRDefault="00B87A1E">
      <w:pPr>
        <w:spacing w:after="0"/>
      </w:pPr>
      <w:r>
        <w:rPr>
          <w:b/>
          <w:color w:val="000000"/>
          <w:sz w:val="18"/>
        </w:rPr>
        <w:t>Table 1: Characteristics of beneficiaries with and without anxiety diagnosis at the end of follow-up</w:t>
      </w:r>
    </w:p>
    <w:tbl>
      <w:tblPr>
        <w:tblStyle w:val="TableGrid"/>
        <w:tblW w:w="0" w:type="auto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111"/>
        <w:gridCol w:w="1555"/>
        <w:gridCol w:w="1555"/>
        <w:gridCol w:w="1689"/>
      </w:tblGrid>
      <w:tr w:rsidR="00637779">
        <w:tc>
          <w:tcPr>
            <w:tcW w:w="0" w:type="auto"/>
          </w:tcPr>
          <w:p w:rsidR="00637779" w:rsidRDefault="00637779">
            <w:pPr>
              <w:jc w:val="center"/>
            </w:pPr>
          </w:p>
        </w:tc>
        <w:tc>
          <w:tcPr>
            <w:tcW w:w="0" w:type="auto"/>
          </w:tcPr>
          <w:p w:rsidR="00637779" w:rsidRDefault="00B87A1E">
            <w:pPr>
              <w:jc w:val="center"/>
            </w:pPr>
            <w:r>
              <w:rPr>
                <w:b/>
              </w:rPr>
              <w:t xml:space="preserve">Anxiety </w:t>
            </w:r>
          </w:p>
        </w:tc>
        <w:tc>
          <w:tcPr>
            <w:tcW w:w="0" w:type="auto"/>
          </w:tcPr>
          <w:p w:rsidR="00637779" w:rsidRDefault="00B87A1E">
            <w:pPr>
              <w:jc w:val="center"/>
            </w:pPr>
            <w:r>
              <w:rPr>
                <w:b/>
              </w:rPr>
              <w:t xml:space="preserve">No anxiety </w:t>
            </w:r>
          </w:p>
        </w:tc>
        <w:tc>
          <w:tcPr>
            <w:tcW w:w="0" w:type="auto"/>
          </w:tcPr>
          <w:p w:rsidR="00637779" w:rsidRDefault="00B87A1E">
            <w:pPr>
              <w:jc w:val="center"/>
            </w:pPr>
            <w:r>
              <w:rPr>
                <w:b/>
              </w:rPr>
              <w:t xml:space="preserve">Total </w:t>
            </w:r>
          </w:p>
        </w:tc>
      </w:tr>
      <w:tr w:rsidR="00637779">
        <w:tc>
          <w:tcPr>
            <w:tcW w:w="0" w:type="auto"/>
            <w:tcBorders>
              <w:bottom w:val="single" w:sz="0" w:space="0" w:color="000000"/>
            </w:tcBorders>
          </w:tcPr>
          <w:p w:rsidR="00637779" w:rsidRDefault="00637779">
            <w:pPr>
              <w:jc w:val="center"/>
            </w:pP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637779" w:rsidRDefault="00B87A1E">
            <w:pPr>
              <w:jc w:val="center"/>
            </w:pPr>
            <w:r>
              <w:t>N=179,045   (16.5)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637779" w:rsidRDefault="00B87A1E">
            <w:pPr>
              <w:jc w:val="center"/>
            </w:pPr>
            <w:r>
              <w:t>N=903,315   (83.5)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637779" w:rsidRDefault="00B87A1E">
            <w:pPr>
              <w:jc w:val="center"/>
            </w:pPr>
            <w:r>
              <w:t>N=1,082,360 (100.0)</w:t>
            </w:r>
          </w:p>
        </w:tc>
      </w:tr>
      <w:tr w:rsidR="00637779">
        <w:tc>
          <w:tcPr>
            <w:tcW w:w="0" w:type="auto"/>
            <w:tcBorders>
              <w:top w:val="single" w:sz="0" w:space="0" w:color="000000"/>
            </w:tcBorders>
          </w:tcPr>
          <w:p w:rsidR="00637779" w:rsidRDefault="00B87A1E">
            <w:r>
              <w:t>Characteristics at baseline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Age, years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18-24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27,640   (15.4)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201,988   (22.4)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229,628   (21.2)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25-34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46,271   (25.8)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226,182   (25.0)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272,453   (25.2)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35-44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43,515   (24.3)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179,792   (19.9)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223,307   (20.6)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45-54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35,230   (19.7)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146,017   (16.2)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181,247   (16.7)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55-64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16,251     (9.1)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90,118   (10.0)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106,369     (9.8)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65-74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6,871     (3.8)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39,128     (4.3)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45,999     (4.2)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75+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3,267     (1.8)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20,090     (2.2)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23,357     (2.2)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Mean (SD)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39.4   (14.4)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38.3   (15.6)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38.4   (15.4)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Sex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Male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66,723   (37.3)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451,058   (49.9)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517,781   (47.8)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Female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112,322   (62.7)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452,257   (50.1)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564,579   (52.2)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Population group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Black African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91,298   (51.0)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478,427   (53.0)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569,725   (52.6)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Mixed Ancestry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14,752     (8.2)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53,463     (5.9)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68,215     (6.3)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White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39,106   (21.8)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157,654   (17.5)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196,760   (18.2)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Indian/Asian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6,655     (3.7)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42,276     (4.7)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48,931     (4.5)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Unknown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27,234   (15.2)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171,495   (19.0)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198,729   (18.4)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>Characteristics at the end of follow-up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CVD risk factors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Diabetes mellitus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34,492   (19.3)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102,710   (11.4)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137,202   (12.7)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Hypertension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79,489   (44.4)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228,929   (25.3)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308,418   (28.5)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Dyslipidemia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45,815   (25.6)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124,220   (13.8)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170,035   (15.7)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Overweight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2,502     (1.4)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7,053     (0.8)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9,555     (0.9)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Smoking (ever)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2,816     (1.6)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5,642     (0.6)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8,458     (0.8)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HIV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22,086   (12.3)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64,386     (7.1)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86,472     (8.0)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Psychiatric comorbidity: low certainty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Substance use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4,650     (2.6)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5,867     (0.6)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10,517     (1.0)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Psychotic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2,241     (1.3)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2,530     (0.3)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4,771     (0.4)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Mood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76,615   (42.8)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80,986     (9.0)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157,601   (14.6)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Anxiety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179,045 (100.0)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179,045   (16.5)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Post-traumatic stress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13,860     (7.7)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13,860     (1.3)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Other anxiety disorders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135,581   (75.7)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135,581   (12.5)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Sleep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34,795   (19.4)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39,551     (4.4)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74,346     (6.9)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Other mental disorders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10,101     (5.6)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14,007     (1.6)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24,108     (2.2)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Psychiatric comorbidity: moderate certainty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Substance use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1,920     (1.1)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1,868     (0.2)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3,788     (0.3)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Psychotic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1,119     (0.6)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1,268     (0.1)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2,387     (0.2)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Mood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58,173   (32.5)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50,336     (5.6)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108,509   (10.0)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Anxiety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93,146   (52.0)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93,146     (8.6)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Post-traumatic stress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5,902     (3.3)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5,902     (0.5)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Other anxiety disorders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68,149   (38.1)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68,149     (6.3)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Sleep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34,795   (19.4)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39,551     (4.4)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74,346     (6.9)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Other mental disorders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4,975     (2.8)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6,172     (0.7)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11,147     (1.0)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Psychiatric comorbidity (detailed): low certainty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Substance use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4,650     (2.6)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5,867     (0.6)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10,517     (1.0)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Alcohol use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2,490     (1.4)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2,766     (0.3)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5,256     (0.5)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Drug use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2,016     (1.1)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2,299     (0.3)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4,315     (0.4)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Tobacco use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56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72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128     (0.0)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Psychotic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2,241     (1.3)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2,530     (0.3)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4,771     (0.4)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Mood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76,615   (42.8)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80,986     (9.0)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157,601   (14.6)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Bipolar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10,573     (5.9)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8,464     (0.9)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19,037     (1.8)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Depression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74,883   (41.8)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77,275     (8.6)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152,158   (14.1)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Other mood disorde</w:t>
            </w:r>
            <w:r>
              <w:t>rs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2,031     (1.1)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1,642     (0.2)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3,673     (0.3)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Anxiety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179,045 (100.0)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179,045   (16.5)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Panic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8,777     (4.9)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8,777     (0.8)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Generalised anxiety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32,837   (18.3)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32,837     (3.0)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Mixed anxiety and depressive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15,741     (8.8)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15,741     (1.5)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Unspecified anxiety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63,003   (35.2)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63,003     (5.8)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Acute or severe stress reaction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64,665   (36.1)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64,665     (6.0)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Post-traumatic stress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13,860     (7.7)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13,860     (1.3)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Adjustment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24,486   (13.7)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24,486     (2.3)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Other anxiety disorders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19,867   (11.1)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19,867     (1.8)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Sleep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34,795   (19.4)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39,551     (4.4)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74,346     (6.9)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Other mental disorders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10,101     (5.6)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14,007     (1.6)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24,108     (2.2)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Psychiatric comorbidity (detailed): moderate certainty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lastRenderedPageBreak/>
              <w:t xml:space="preserve">     Substance use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1,920     (1.1)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1,868     (0.2)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3,788     (0.3)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Alcohol use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895     (0.5)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682     (0.1)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1,577     (0.1)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Drug use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715     (0.4)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672     (0.1)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1,387     (0.1)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Tobacco use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14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15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29     (0.0)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Psychotic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1,119     (0.6)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1,268     (0.1)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2,387     (0.2)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Mood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58,173   (32.5)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50,336     (5.6)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108,509   (10.0)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Bipolar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7,567     (4.2)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5,686     (0.6)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13,253     (1.2)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Depression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56,368   (31.5)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47,277     (5.2)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103,645     (9.6)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Other mood disorders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797     (0.4)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607     (0.1)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1,404     (0.1)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Anxiety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93,146   (52.0)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93,146     (8.6)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Panic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2,494     (1.4)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2,494     (0.2)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Generalised anxiety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13,334     (7.4)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13,334     (1.2)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Mixed anxiety and depressive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6,131     (3.4)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6,131     (0.6)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Unspecified anxiety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21,501   (12.0)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21,501     (2.0)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Acute or severe stress reaction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26,224   (14.6)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26,224     (2.4)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Post-traumatic stress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5,902     (3.3)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5,902     (0.5)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Adjustment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15,736     (8.8)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15,736     (1.5)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  Other anxiety disorders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6,313     (3.5)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6,313     (0.6)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Sleep disorder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17,839   (10.0)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16,311     (1.8)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34,150     (3.2)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Other mental disorders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4,975     (2.8)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6,172     (0.7)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11,147     (1.0)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Major vascular event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14,058     (7.9)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32,924     (3.6)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46,982     (4.3)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Unstable angina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7,229     (4.0)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16,386     (1.8)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23,615     (2.2)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STEMI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593     (0.3)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1,838     (0.2)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2,431     (0.2)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NSTEMI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582     (0.3)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1,589     (0.2)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2,171     (0.2)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Unspecified MI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1,511     (0.8)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3,964     (0.4)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5,475     (0.5)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Revascularization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1,676     (0.9)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4,943     (0.5)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6,619     (0.6)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Hemorrhagic stroke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1,219     (0.7)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2,804     (0.3)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4,023     (0.4)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Ischaemic stroke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3,284     (1.8)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7,216     (0.8)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10,500     (1.0)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Unspecified stroke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4,518     (2.5)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10,278     (1.1)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14,796     (1.4)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Mortality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6,273     (3.5)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30,989     (3.4)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37,262     (3.4)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Natural causes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5,346     (3.0)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26,157     (2.9)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31,504     (2.9)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Unnatural causes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568     (0.3)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2,575     (0.3)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3,145     (0.3)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Unknown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359     (0.2)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2,257     (0.2)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2,620     (0.2)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Follow-up time, years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 xml:space="preserve"> </w:t>
            </w:r>
          </w:p>
        </w:tc>
      </w:tr>
      <w:tr w:rsidR="00637779">
        <w:tc>
          <w:tcPr>
            <w:tcW w:w="0" w:type="auto"/>
          </w:tcPr>
          <w:p w:rsidR="00637779" w:rsidRDefault="00B87A1E">
            <w:r>
              <w:t xml:space="preserve">     Median (IRQ)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5.9 (3.2-9.5)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2.5 (1.0-5.0)</w:t>
            </w:r>
          </w:p>
        </w:tc>
        <w:tc>
          <w:tcPr>
            <w:tcW w:w="0" w:type="auto"/>
          </w:tcPr>
          <w:p w:rsidR="00637779" w:rsidRDefault="00B87A1E">
            <w:pPr>
              <w:jc w:val="right"/>
            </w:pPr>
            <w:r>
              <w:t>3.0 (1.2-6.0)</w:t>
            </w:r>
          </w:p>
        </w:tc>
      </w:tr>
    </w:tbl>
    <w:p w:rsidR="00637779" w:rsidRDefault="00637779">
      <w:bookmarkStart w:id="0" w:name="_GoBack"/>
      <w:bookmarkEnd w:id="0"/>
    </w:p>
    <w:sectPr w:rsidR="00637779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wNDI3MDE2srAwtjBT0lEKTi0uzszPAykwrAUA9BzlJSwAAAA="/>
  </w:docVars>
  <w:rsids>
    <w:rsidRoot w:val="00637779"/>
    <w:rsid w:val="00637779"/>
    <w:rsid w:val="00B8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58A8E"/>
  <w15:docId w15:val="{28B3C05D-3873-487A-8F30-3A919DD0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  <w:rPr>
      <w:rFonts w:ascii="Arial" w:eastAsia="Arial" w:hAnsi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1068</Words>
  <Characters>6091</Characters>
  <Application>Microsoft Office Word</Application>
  <DocSecurity>0</DocSecurity>
  <Lines>50</Lines>
  <Paragraphs>14</Paragraphs>
  <ScaleCrop>false</ScaleCrop>
  <Company>University of Bern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Haas, Andreas (ISPM)</cp:lastModifiedBy>
  <cp:revision>2</cp:revision>
  <dcterms:created xsi:type="dcterms:W3CDTF">2022-06-07T16:24:00Z</dcterms:created>
  <dcterms:modified xsi:type="dcterms:W3CDTF">2022-06-07T16:25:00Z</dcterms:modified>
</cp:coreProperties>
</file>