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N=11,247     (1.1)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N=997,952   (98.9)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N=1,009,199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1,489   (13.2)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177,288   (17.8)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178,777   (17.7)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3,426   (30.5)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264,510   (26.5)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267,936   (26.5)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3,153   (28.0)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214,291   (21.5)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217,444   (21.5)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2,172   (19.3)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171,757   (17.2)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173,929   (17.2)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742     (6.6)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102,364   (10.3)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103,106   (10.2)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188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44,848     (4.5)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45,036     (4.5)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77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22,894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22,971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37.7   (12.2)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39.3  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39.3   (15.2)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4,323   (38.4)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482,145   (48.3)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486,468   (48.2)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6,924   (61.6)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515,807   (51.7)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522,731   (51.8)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7,379   (65.6)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516,257   (51.7)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523,636   (51.9)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680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65,070     (6.5)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65,750     (6.5)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1,574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183,132  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184,706   (18.3)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324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45,699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46,023     (4.6)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1,290   (11.5)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187,794   (18.8)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189,084   (18.7)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1,719   (15.3)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115,400   (11.6)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117,119   (11.6)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4,405   (39.2)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275,578   (27.6)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279,983   (27.7)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1,996   (17.7)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143,204   (14.3)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145,200   (14.4)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576     (5.1)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22,400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22,976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123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5,709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5,832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166     (1.5)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7,195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7,361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1,891   (16.8)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79,537     (8.0)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81,428     (8.1)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370     (3.3)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8,272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8,642     (0.9)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3,705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3,862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5,880   (52.3)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124,487   (12.5)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130,367   (12.9)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4,842   (43.1)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96,527     (9.7)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101,369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1,902   (16.9)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59,951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61,853     (6.1)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Antipsychotic medication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2,541   (22.6)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85,479     (8.6)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88,020     (8.7)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     (1.5)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3,039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3,207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1,918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1,993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4,911   (43.7)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85,972     (8.6)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90,883     (9.0)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3,234   (28.8)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49,088     (4.9)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52,322     (5.2)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977     (8.7)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28,652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29,629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Antipsychotic medication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1,517   (13.5)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38,386     (3.8)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39,903     (4.0)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357     (3.2)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22,291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22,648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542     (4.8)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33,717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34,259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MACE 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836     (7.4)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53,516     (5.4)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54,352     (5.4)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1,904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1,925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1,429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1,436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53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4,220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4,273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3,033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3,092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123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7,815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7,938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11,404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11,593     (1.1)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230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14,193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14,423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5,286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5,335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Heart failure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406     (3.6)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29,064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29,470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192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26,831     (2.7)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27,023     (2.7)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156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23,022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23,179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2,526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2,555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1,283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1,296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 (3.2-6.0)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(1.1-6.0)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(1.1-6.0)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