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(0.79-0.94)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(1.14-1.35)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(1.00-1.19)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(0.99-1.16)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(1.39-1.45)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(1.35-1.42)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(1.20-1.26)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(1.58-1.96)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(1.29-1.59)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(1.27-1.57)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(1.24-1.53)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(1.35-1.67)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(1.25-1.55)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3.38 (3.31-3.44)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(1.44-1.50)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4.55 (4.46-4.63)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5.66 (5.54-5.78)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2.36 (2.31-2.42)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0.56 (0.54-0.59)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(1.02-1.11)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(0.13-0.15)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(0.13-0.16)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(0.13-0.16)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(0.22-0.26)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0.27 (0.26-0.28)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(0.51-0.55)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(0.51-0.55)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0.70 (0.67-0.72)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(1.67-1.76)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(1.59-1.68)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(1.60-1.69)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(1.27-1.34)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2.99 (2.91-3.08)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2.58 (2.51-2.66)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2.62 (2.54-2.69)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(1.75-1.86)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4.87 (4.73-5.02)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4.18 (4.06-4.31)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4.26 (4.13-4.39)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2.82 (2.73-2.91)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(1.20-1.24)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(1.34-1.38)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(1.37-1.42)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(1.33-1.38)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(1.69-1.83)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(1.79-1.95)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(1.77-1.92)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(1.59-1.73)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(2.84-2.97)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(1.69-1.78)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(1.64-1.72)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(1.57-1.65)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3.29 (3.18-3.41)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2.56 (2.47-2.65)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2.56 (2.48-2.66)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2.27 (2.19-2.36)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3.00 (2.93-3.08)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1.82 (1.77-1.87)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(1.74-1.84)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(1.60-1.69)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0.78 (0.75-0.80)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(0.81-0.86)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(0.81-0.86)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0.82 (0.80-0.85)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(0.87-0.93)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(0.89-0.95)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(0.89-0.95)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(0.57-0.63)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(0.53-0.60)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0.56 (0.53-0.59)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0.58 (0.55-0.61)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