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3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(1.36-1.63)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(1.28-1.53)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5.80 (5.46-6.17)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(2.08-2.37)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(2.05-2.33)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(1.31-1.59)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(1.24-1.51)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(1.75-2.21)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(1.65-1.74)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(1.41-1.49)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(2.07-2.20)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(0.94-1.09)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(1.06-1.22)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(1.03-1.19)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3.81 (3.73-3.89)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5.10 (5.00-5.21)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(5.76-6.02)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(2.08-2.19)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(2.03-2.13)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(0.45-0.49)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(0.60-0.64)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(1.79-1.89)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(1.70-1.80)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(1.71-1.81)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(1.40-1.48)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3.32 (3.22-3.42)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(2.78-2.95)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(2.82-3.00)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(1.98-2.11)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(2.03-2.16)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5.67 (5.50-5.85)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4.91 (4.75-5.07)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4.87 (4.71-5.03)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3.37 (3.27-3.49)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3.39 (3.28-3.51)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(1.41-1.46)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(1.37-1.42)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(1.75-1.91)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(1.85-2.02)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(1.80-1.96)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(1.70-1.86)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(3.12-3.27)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(1.63-1.72)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(3.45-3.71)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2.66 (2.56-2.76)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(2.60-2.80)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2.42 (2.33-2.51)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2.45 (2.36-2.54)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3.05 (2.97-3.13)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(1.39-1.48)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(0.95-1.01)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(0.48-0.56)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0.38 (0.34-0.43)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2.49 (2.36-2.64)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