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2F" w:rsidRDefault="00251F95">
      <w:pPr>
        <w:spacing w:after="0"/>
      </w:pPr>
      <w:r>
        <w:rPr>
          <w:b/>
          <w:color w:val="000000"/>
          <w:sz w:val="18"/>
        </w:rPr>
        <w:t>Table 3: Unadjusted and adjusted hazard ratios for factors associated with major vascular events: moderate certainty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01"/>
        <w:gridCol w:w="1355"/>
        <w:gridCol w:w="1355"/>
        <w:gridCol w:w="1355"/>
        <w:gridCol w:w="1355"/>
        <w:gridCol w:w="1355"/>
      </w:tblGrid>
      <w:tr w:rsidR="00DA2F2F"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DA2F2F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251F95">
            <w:pPr>
              <w:jc w:val="center"/>
            </w:pPr>
            <w:r>
              <w:rPr>
                <w:b/>
              </w:rPr>
              <w:t>HR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251F95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251F95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251F95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DA2F2F" w:rsidRDefault="00251F95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</w:tr>
      <w:tr w:rsidR="00251F95"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r>
              <w:t>Mental disorders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251F95" w:rsidRDefault="00251F95" w:rsidP="00251F95">
            <w:pPr>
              <w:jc w:val="right"/>
            </w:pP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PTSD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0.96 (0.85-1.09)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1.49 (1.32-1.69)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1.14 (1.00-1.29)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1.41 (1.24-1.60)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1.15 (1.01-1.30)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Other anxiety disorders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1.21 (1.17-1.26)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1.18 (1.14-1.22)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1.15 (1.11-1.20)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Organic mental disorder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7.42 (6.85-8.03)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2.20 (2.03-2.38)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2.24 (2.06-2.43)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Substance use disorder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1.59 (1.34-1.88)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1.47 (1.24-1.75)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1.45 (1.22-1.72)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Psychotic disorder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1.74 (1.49-2.02)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1.02 (0.87-1.19)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1.02 (0.87-1.19)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Mood disorder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1.82 (1.78-1.87)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1.60 (1.56-1.64)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1.43 (1.39-1.47)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Other mental disorder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1.45 (1.38-1.54)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1.10 (1.03-1.16)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1.05 (0.99-1.11)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>Cardiovascular risk factors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Diabetes mellitus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3.83 (3.76-3.91)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1.50 (1.47-1.53)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1.50 (1.47-1.53)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Dyslipidemia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5.26 (5.17-5.36)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1.57 (1.54-1.61)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1.55 (1.52-1.58)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 xml:space="preserve">  Hypertension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5.67 (5.56-5.78)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2.10 (2.05-2.14)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2.06 (2.01-2.11)</w:t>
            </w:r>
          </w:p>
        </w:tc>
      </w:tr>
      <w:tr w:rsidR="00251F95">
        <w:tc>
          <w:tcPr>
            <w:tcW w:w="0" w:type="auto"/>
          </w:tcPr>
          <w:p w:rsidR="00251F95" w:rsidRDefault="00251F95" w:rsidP="00251F95">
            <w:r>
              <w:t>HIV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0.61 (0.58-0.64)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1.19 (1.14-1.25)</w:t>
            </w:r>
          </w:p>
        </w:tc>
        <w:tc>
          <w:tcPr>
            <w:tcW w:w="0" w:type="auto"/>
          </w:tcPr>
          <w:p w:rsidR="00251F95" w:rsidRDefault="00251F95" w:rsidP="00251F95">
            <w:pPr>
              <w:jc w:val="right"/>
            </w:pPr>
            <w:r>
              <w:t>1.18 (1.13-1.24)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>Age, years</w:t>
            </w: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18-24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0.16 (0.15-0.18)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0.16 (0.15-0.18)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25-34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0.24 (0.23-0.25)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0.25 (0.24-0.26)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0.25 (0.24-0.26)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0.36 (0.34-0.38)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0.36 (0.34-0.38)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35-44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0.49 (0.47-0.51)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0.51 (0.49-0.52)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0.51 (0.49-0.52)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0.64 (0.62-0.66)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0.64 (0.62-0.66)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45-54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55-64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1.80 (1.75-1.85)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1.71 (1.67-1.76)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1.73 (1.68-1.77)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1.39 (1.35-1.43)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1.40 (1.36-1.44)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65-74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3.22 (3.13-3.31)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2.78 (2.70-2.87)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2.83 (2.74-2.91)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1.97 (1.91-2.03)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2.01 (1.95-2.07)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75+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5.48 (5.32-5.64)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4.74 (4.59-4.88)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4.75 (4.61-4.90)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3.23 (3.13-3.33)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3.26 (3.16-3.36)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>Sex</w:t>
            </w: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Male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1.21 (1.19-1.24)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1.35 (1.33-1.38)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1.41 (1.38-1.43)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1.33 (1.30-1.35)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1.37 (1.34-1.39)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Female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>Population group</w:t>
            </w: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Black African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Mixed Ancestry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1.75 (1.68-1.83)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1.85 (1.78-1.93)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1.81 (1.74-1.89)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1.68 (1.61-1.75)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1.66 (1.59-1.73)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White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3.03 (2.96-3.10)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1.74 (1.69-1.78)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1.64 (1.60-1.68)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1.64 (1.60-1.68)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1.57 (1.53-1.61)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Indian/Asian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3.42 (3.30-3.54)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2.58 (2.49-2.67)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2.59 (2.50-2.69)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2.32 (2.24-2.41)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2.34 (2.26-2.42)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Unknown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2.97 (2.89-3.04)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1.56 (1.51-1.60)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1.51 (1.46-1.55)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1.40 (1.36-1.44)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1.37 (1.33-1.41)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>Year</w:t>
            </w: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  <w:tc>
          <w:tcPr>
            <w:tcW w:w="0" w:type="auto"/>
          </w:tcPr>
          <w:p w:rsidR="00DA2F2F" w:rsidRDefault="00DA2F2F">
            <w:pPr>
              <w:jc w:val="right"/>
            </w:pP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2011-2013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1.00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2014-2016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0.97 (0.94-1.00)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1.10 (1.06-1.13)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1.09 (1.06-1.13)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1.09 (1.06-1.12)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1.09 (1.06-1.12)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2017-2019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1.13 (1.10-1.16)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1.16 (1.13-1.20)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1.15 (1.12-1.19)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1.19 (1.16-1.23)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1.18 (1.15-1.22)</w:t>
            </w:r>
          </w:p>
        </w:tc>
      </w:tr>
      <w:tr w:rsidR="00DA2F2F">
        <w:tc>
          <w:tcPr>
            <w:tcW w:w="0" w:type="auto"/>
          </w:tcPr>
          <w:p w:rsidR="00DA2F2F" w:rsidRDefault="00251F95">
            <w:r>
              <w:t xml:space="preserve">  2020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0.84 (0.79-0.89)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0.93 (0.88-0.98)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0.92 (0.87-0.98)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0.97 (0.92-1.03)</w:t>
            </w:r>
          </w:p>
        </w:tc>
        <w:tc>
          <w:tcPr>
            <w:tcW w:w="0" w:type="auto"/>
          </w:tcPr>
          <w:p w:rsidR="00DA2F2F" w:rsidRDefault="00251F95">
            <w:pPr>
              <w:jc w:val="right"/>
            </w:pPr>
            <w:r>
              <w:t>0.97 (0.91-1.02)</w:t>
            </w:r>
          </w:p>
        </w:tc>
      </w:tr>
    </w:tbl>
    <w:p w:rsidR="00DA2F2F" w:rsidRDefault="00DA2F2F">
      <w:bookmarkStart w:id="0" w:name="_GoBack"/>
      <w:bookmarkEnd w:id="0"/>
    </w:p>
    <w:sectPr w:rsidR="00DA2F2F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AACU3NjU1MLIwtzIyUdpeDU4uLM/DyQAsNaAHRT8rMsAAAA"/>
  </w:docVars>
  <w:rsids>
    <w:rsidRoot w:val="00DA2F2F"/>
    <w:rsid w:val="00251F95"/>
    <w:rsid w:val="00DA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641D6C-A5A2-4D33-BF35-557939B9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2</cp:revision>
  <dcterms:created xsi:type="dcterms:W3CDTF">2022-06-05T07:42:00Z</dcterms:created>
  <dcterms:modified xsi:type="dcterms:W3CDTF">2022-06-05T07:50:00Z</dcterms:modified>
</cp:coreProperties>
</file>