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hypertension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(1.05-1.15)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(1.25-1.37)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(1.10-1.21)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(1.24-1.36)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(1.11-1.14)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(1.16-1.20)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(1.71-1.95)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(0.95-1.09)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(0.94-1.07)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(0.86-0.97)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(1.17-1.32)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(1.17-1.32)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(1.12-1.31)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(1.00-1.16)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(0.98-1.14)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(1.21-1.24)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(1.15-1.18)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(1.12-1.15)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(1.53-1.60)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(1.11-1.16)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(1.08-1.13)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0.70 (0.67-0.73)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(1.09-1.18)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3.41 (3.37-3.45)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1.99 (1.97-2.02)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(1.96-2.01)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2.96 (2.93-3.00)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(0.88-0.91)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(0.93-0.96)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(0.92-0.95)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0.07 (0.06-0.07)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0.07 (0.06-0.07)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(0.20-0.21)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(0.48-0.49)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(0.48-0.49)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(0.48-0.49)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(1.57-1.61)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(1.57-1.61)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(1.58-1.61)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(1.53-1.56)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(1.54-1.57)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2.27 (2.24-2.30)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2.25 (2.22-2.28)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2.27 (2.24-2.30)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2.16 (2.13-2.18)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2.18 (2.15-2.21)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2.96 (2.92-3.01)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2.90 (2.86-2.95)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2.93 (2.89-2.98)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2.77 (2.73-2.82)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2.80 (2.76-2.85)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(0.92-0.93)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(0.93-0.94)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(0.91-0.92)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(0.92-0.93)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(1.16-1.20)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(1.22-1.26)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(1.19-1.23)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(1.18-1.22)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(1.64-1.67)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(1.10-1.12)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(1.08-1.10)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(1.08-1.10)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(1.07-1.09)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(0.89-0.92)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(0.89-0.93)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(0.83-0.86)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(0.83-0.86)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(1.66-1.69)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(1.07-1.09)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(1.06-1.09)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(1.03-1.05)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(1.03-1.05)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0.72 (0.71-0.73)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0.81 (0.81-0.82)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(0.85-0.87)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(0.85-0.86)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(0.86-0.88)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(0.86-0.88)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0.42 (0.41-0.43)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(0.50-0.53)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(0.50-0.53)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(0.51-0.54)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(0.51-0.54)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