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Commercial Model and Marketplace Governance</w:t>
      </w:r>
    </w:p>
    <w:p>
      <w:pPr>
        <w:jc w:val="center"/>
      </w:pPr>
      <w:r>
        <w:rPr>
          <w:b/>
          <w:color w:val="C9A227"/>
          <w:sz w:val="32"/>
        </w:rPr>
        <w:t>Marketplace Business Model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Marketplace Positioning</w:t>
      </w:r>
    </w:p>
    <w:p>
      <w:r>
        <w:t>2. Seller Types</w:t>
      </w:r>
    </w:p>
    <w:p>
      <w:r>
        <w:t>3. Revenue Streams</w:t>
      </w:r>
    </w:p>
    <w:p>
      <w:r>
        <w:t>4. Trust Model</w:t>
      </w:r>
    </w:p>
    <w:p>
      <w:r>
        <w:t>5. Unit Economics</w:t>
      </w:r>
    </w:p>
    <w:p>
      <w:r>
        <w:br w:type="page"/>
      </w:r>
    </w:p>
    <w:p>
      <w:pPr>
        <w:pStyle w:val="Heading1"/>
      </w:pPr>
      <w:r>
        <w:t>Marketplace Positioning</w:t>
      </w:r>
    </w:p>
    <w:p>
      <w:r>
        <w:t>Premium coffee marketplace focused on rich origin data, trusted providers and guided discovery.</w:t>
      </w:r>
    </w:p>
    <w:p>
      <w:pPr>
        <w:pStyle w:val="Heading1"/>
      </w:pPr>
      <w:r>
        <w:t>Seller Types</w:t>
      </w:r>
    </w:p>
    <w:p>
      <w:r>
        <w:t>Coffee farms</w:t>
      </w:r>
    </w:p>
    <w:p>
      <w:r>
        <w:t>Roasters</w:t>
      </w:r>
    </w:p>
    <w:p>
      <w:r>
        <w:t>Importers/exporters</w:t>
      </w:r>
    </w:p>
    <w:p>
      <w:r>
        <w:t>Specialty coffee shops</w:t>
      </w:r>
    </w:p>
    <w:p>
      <w:r>
        <w:t>Equipment vendors</w:t>
      </w:r>
    </w:p>
    <w:p>
      <w:r>
        <w:t>Course providers</w:t>
      </w:r>
    </w:p>
    <w:p>
      <w:pPr>
        <w:pStyle w:val="Heading1"/>
      </w:pPr>
      <w:r>
        <w:t>Revenue Streams</w:t>
      </w:r>
    </w:p>
    <w:p>
      <w:r>
        <w:t>Commission per order</w:t>
      </w:r>
    </w:p>
    <w:p>
      <w:r>
        <w:t>Seller monthly subscription</w:t>
      </w:r>
    </w:p>
    <w:p>
      <w:r>
        <w:t>Featured listings</w:t>
      </w:r>
    </w:p>
    <w:p>
      <w:r>
        <w:t>Advertising and sponsorships</w:t>
      </w:r>
    </w:p>
    <w:p>
      <w:r>
        <w:t>Affiliate revenue on equipment</w:t>
      </w:r>
    </w:p>
    <w:p>
      <w:r>
        <w:t>Coffee courses and certificates</w:t>
      </w:r>
    </w:p>
    <w:p>
      <w:r>
        <w:t>B2B sourcing fees</w:t>
      </w:r>
    </w:p>
    <w:p>
      <w:pPr>
        <w:pStyle w:val="Heading1"/>
      </w:pPr>
      <w:r>
        <w:t>Trust Model</w:t>
      </w:r>
    </w:p>
    <w:p>
      <w:r>
        <w:t>Verified seller badges</w:t>
      </w:r>
    </w:p>
    <w:p>
      <w:r>
        <w:t>Fresh roast date visibility</w:t>
      </w:r>
    </w:p>
    <w:p>
      <w:r>
        <w:t>Transparent shipping countries</w:t>
      </w:r>
    </w:p>
    <w:p>
      <w:r>
        <w:t>Ratings and reviews</w:t>
      </w:r>
    </w:p>
    <w:p>
      <w:r>
        <w:t>Dispute resolution</w:t>
      </w:r>
    </w:p>
    <w:p>
      <w:r>
        <w:t>Quality policy and delisting rules</w:t>
      </w:r>
    </w:p>
    <w:p>
      <w:pPr>
        <w:pStyle w:val="Heading1"/>
      </w:pPr>
      <w:r>
        <w:t>Unit Economics</w:t>
      </w:r>
    </w:p>
    <w:p>
      <w:r>
        <w:t>Average order value grows through subscriptions, bundles and equipment add-ons.</w:t>
      </w:r>
    </w:p>
    <w:p>
      <w:r>
        <w:t>Contribution margin depends on commission, payment fees, customer acquisition cost and support cost.</w:t>
      </w:r>
    </w:p>
    <w:p>
      <w:r>
        <w:t>Marketplace liquidity depends on strong seller onboarding and content-driven demand.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