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pPr>
      <w:r>
        <w:rPr>
          <w:b/>
          <w:bCs/>
          <w:color w:val="2E6DA4"/>
          <w:spacing w:val="60"/>
          <w:sz w:val="24"/>
          <w:szCs w:val="24"/>
        </w:rPr>
        <w:t xml:space="preserve">LEHRSTUHL-MANUAL</w:t>
      </w:r>
    </w:p>
    <w:p>
      <w:pPr>
        <w:spacing w:after="160"/>
      </w:pPr>
      <w:r>
        <w:rPr>
          <w:b/>
          <w:bCs/>
          <w:color w:val="1F3A5F"/>
          <w:sz w:val="60"/>
          <w:szCs w:val="60"/>
        </w:rPr>
        <w:t xml:space="preserve">Die Introduction schreiben</w:t>
      </w:r>
    </w:p>
    <w:p>
      <w:pPr>
        <w:pBdr>
          <w:bottom w:val="single" w:color="2E6DA4" w:sz="12" w:space="12"/>
        </w:pBdr>
        <w:spacing w:after="600"/>
      </w:pPr>
      <w:r>
        <w:rPr>
          <w:color w:val="5A6270"/>
          <w:sz w:val="28"/>
          <w:szCs w:val="28"/>
        </w:rPr>
        <w:t xml:space="preserve">Standard, Werkzeuge und Exemplare für empirische Paper in Management, Innovation, Entrepreneurship und Strategie</w:t>
      </w:r>
    </w:p>
    <w:p>
      <w:pPr>
        <w:spacing w:after="200"/>
      </w:pPr>
      <w:r>
        <w:rPr>
          <w:color w:val="333333"/>
          <w:sz w:val="22"/>
          <w:szCs w:val="22"/>
        </w:rPr>
        <w:t xml:space="preserve">Dieses Manual beschreibt, was eine gelungene Introduction ausmacht: die Leitarchitektur, die Anforderungen an Lücke, Forschungsfrage, Argument und Beiträge, Länge und Stil, Selbsttests sowie eine kommentierte Bibliothek mit Originalpassagen aus acht publizierten Lehrstuhl-Papern.</w:t>
      </w:r>
    </w:p>
    <w:p>
      <w:pPr>
        <w:spacing w:after="60"/>
      </w:pPr>
      <w:r>
        <w:rPr>
          <w:color w:val="5A6270"/>
          <w:sz w:val="20"/>
          <w:szCs w:val="20"/>
        </w:rPr>
        <w:t xml:space="preserve">Zielgruppe: Doktoranden des Lehrstuhls</w:t>
      </w:r>
    </w:p>
    <w:p>
      <w:r>
        <w:rPr>
          <w:color w:val="5A6270"/>
          <w:sz w:val="20"/>
          <w:szCs w:val="20"/>
        </w:rPr>
        <w:t xml:space="preserve">Stand: September 2026</w:t>
      </w:r>
    </w:p>
    <w:p>
      <w:r>
        <w:br w:type="page"/>
      </w:r>
    </w:p>
    <w:p>
      <w:pPr>
        <w:spacing w:after="240"/>
      </w:pPr>
      <w:r>
        <w:rPr>
          <w:b/>
          <w:bCs/>
          <w:color w:val="1F3A5F"/>
          <w:sz w:val="36"/>
          <w:szCs w:val="36"/>
        </w:rPr>
        <w:t xml:space="preserve">Inhalt</w:t>
      </w:r>
    </w:p>
    <w:sdt>
      <w:sdtPr>
        <w:alias w:val="Inhalt"/>
      </w:sdtPr>
      <w:sdtContent>
        <w:p>
          <w:r>
            <w:fldChar w:fldCharType="begin" w:dirty="true"/>
            <w:instrText xml:space="preserve">TOC \h \o "1-2"</w:instrText>
            <w:fldChar w:fldCharType="separate"/>
          </w:r>
        </w:p>
        <w:p>
          <w:r>
            <w:fldChar w:fldCharType="end"/>
          </w:r>
        </w:p>
      </w:sdtContent>
    </w:sdt>
    <w:p>
      <w:pPr>
        <w:pStyle w:val="Heading1"/>
        <w:pageBreakBefore/>
      </w:pPr>
      <w:r>
        <w:t xml:space="preserve">1  Worum es geht</w:t>
      </w:r>
    </w:p>
    <w:p>
      <w:pPr>
        <w:spacing w:after="120"/>
      </w:pPr>
      <w:r>
        <w:t xml:space="preserve">Eine starke Introduction erzeugt </w:t>
      </w:r>
      <w:r>
        <w:rPr>
          <w:b/>
          <w:bCs/>
        </w:rPr>
        <w:t xml:space="preserve">intellektuelle Notwendigkeit</w:t>
      </w:r>
      <w:r>
        <w:t xml:space="preserve"> für die Studie. Nach dem Lesen soll klar sein: Ohne diese Studie bleibt ein relevantes theoretisches Problem ungelöst. Das Ziel ist ausdrücklich nicht eine Introduction, die nur akademisch </w:t>
      </w:r>
      <w:r>
        <w:rPr>
          <w:i/>
          <w:iCs/>
        </w:rPr>
        <w:t xml:space="preserve">klingt</w:t>
      </w:r>
      <w:r>
        <w:t xml:space="preserve">, sondern ein überzeugendes, theoretisch bedeutsames Argument, das den theoretischen Ertrag der Studie unübersehbar macht.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4E9A5B" w:sz="4"/>
              <w:left w:val="single" w:color="4E9A5B" w:sz="24"/>
              <w:bottom w:val="single" w:color="4E9A5B" w:sz="4"/>
              <w:right w:val="single" w:color="4E9A5B" w:sz="4"/>
            </w:tcBorders>
            <w:shd w:fill="EAF5EC" w:color="auto" w:val="clear"/>
            <w:tcMar>
              <w:top w:type="dxa" w:w="100"/>
              <w:left w:type="dxa" w:w="180"/>
              <w:bottom w:type="dxa" w:w="60"/>
              <w:right w:type="dxa" w:w="180"/>
            </w:tcMar>
          </w:tcPr>
          <w:p>
            <w:pPr>
              <w:spacing w:after="60"/>
            </w:pPr>
            <w:r>
              <w:rPr>
                <w:b/>
                <w:bCs/>
                <w:color w:val="4E9A5B"/>
              </w:rPr>
              <w:t xml:space="preserve">Leitziel:  </w:t>
            </w:r>
            <w:r>
              <w:t xml:space="preserve">Jeder Satz der Introduction muss sich daran messen lassen, ob er die intellektuelle Notwendigkeit der Studie stärkt. Was dazu nichts beiträgt, gehört gekürzt oder in einen anderen Abschnitt.</w:t>
            </w:r>
          </w:p>
        </w:tc>
      </w:tr>
    </w:tbl>
    <w:p>
      <w:pPr>
        <w:spacing w:after="80"/>
      </w:pPr>
    </w:p>
    <w:p>
      <w:pPr>
        <w:pStyle w:val="Heading2"/>
      </w:pPr>
      <w:r>
        <w:t xml:space="preserve">1.1  Wie dieses Manual aufgebaut ist</w:t>
      </w:r>
    </w:p>
    <w:p>
      <w:pPr>
        <w:pStyle w:val="ListParagraph"/>
        <w:numPr>
          <w:ilvl w:val="0"/>
          <w:numId w:val="2"/>
        </w:numPr>
        <w:spacing w:after="60"/>
      </w:pPr>
      <w:r>
        <w:rPr>
          <w:b/>
          <w:bCs/>
        </w:rPr>
        <w:t xml:space="preserve">Kapitel 2:</w:t>
      </w:r>
      <w:r>
        <w:t xml:space="preserve"> die Standardarchitektur einer gelungenen Introduction und was an ihr am meisten zählt.</w:t>
      </w:r>
    </w:p>
    <w:p>
      <w:pPr>
        <w:pStyle w:val="ListParagraph"/>
        <w:numPr>
          <w:ilvl w:val="0"/>
          <w:numId w:val="2"/>
        </w:numPr>
        <w:spacing w:after="60"/>
      </w:pPr>
      <w:r>
        <w:rPr>
          <w:b/>
          <w:bCs/>
        </w:rPr>
        <w:t xml:space="preserve">Kapitel 3:</w:t>
      </w:r>
      <w:r>
        <w:t xml:space="preserve"> jeder Baustein im Detail, jeweils mit Anforderungen, typischen Schwächen und Lehrstuhl-Exemplaren.</w:t>
      </w:r>
    </w:p>
    <w:p>
      <w:pPr>
        <w:pStyle w:val="ListParagraph"/>
        <w:numPr>
          <w:ilvl w:val="0"/>
          <w:numId w:val="2"/>
        </w:numPr>
        <w:spacing w:after="60"/>
      </w:pPr>
      <w:r>
        <w:rPr>
          <w:b/>
          <w:bCs/>
        </w:rPr>
        <w:t xml:space="preserve">Kapitel 4–5:</w:t>
      </w:r>
      <w:r>
        <w:t xml:space="preserve"> Länge, Proportionen, Sprache und wissenschaftliche Redlichkeit.</w:t>
      </w:r>
    </w:p>
    <w:p>
      <w:pPr>
        <w:pStyle w:val="ListParagraph"/>
        <w:numPr>
          <w:ilvl w:val="0"/>
          <w:numId w:val="2"/>
        </w:numPr>
        <w:spacing w:after="60"/>
      </w:pPr>
      <w:r>
        <w:rPr>
          <w:b/>
          <w:bCs/>
        </w:rPr>
        <w:t xml:space="preserve">Kapitel 6:</w:t>
      </w:r>
      <w:r>
        <w:t xml:space="preserve"> Selbsttests, die eine fertige Introduction bestehen muss.</w:t>
      </w:r>
    </w:p>
    <w:p>
      <w:pPr>
        <w:pStyle w:val="ListParagraph"/>
        <w:numPr>
          <w:ilvl w:val="0"/>
          <w:numId w:val="2"/>
        </w:numPr>
        <w:spacing w:after="60"/>
      </w:pPr>
      <w:r>
        <w:rPr>
          <w:b/>
          <w:bCs/>
        </w:rPr>
        <w:t xml:space="preserve">Kapitel 7–8:</w:t>
      </w:r>
      <w:r>
        <w:t xml:space="preserve"> die Signature Moves des Lehrstuhls und die Übersicht der Exemplar-Paper.</w:t>
      </w:r>
    </w:p>
    <w:p>
      <w:pPr>
        <w:pStyle w:val="ListParagraph"/>
        <w:numPr>
          <w:ilvl w:val="0"/>
          <w:numId w:val="2"/>
        </w:numPr>
        <w:spacing w:after="60"/>
      </w:pPr>
      <w:r>
        <w:rPr>
          <w:b/>
          <w:bCs/>
        </w:rPr>
        <w:t xml:space="preserve">Kapitel 9:</w:t>
      </w:r>
      <w:r>
        <w:t xml:space="preserve"> eine Checkliste für die fertige Introduction.</w:t>
      </w:r>
    </w:p>
    <w:p>
      <w:pPr>
        <w:pStyle w:val="Heading2"/>
      </w:pPr>
      <w:r>
        <w:t xml:space="preserve">1.2  Rangordnung der Quellen</w:t>
      </w:r>
    </w:p>
    <w:p>
      <w:pPr>
        <w:spacing w:after="120"/>
      </w:pPr>
      <w:r>
        <w:t xml:space="preserve">Wenn sich Hinweise widersprechen, gilt folgende Rangfolge:</w:t>
      </w:r>
    </w:p>
    <w:p>
      <w:pPr>
        <w:pStyle w:val="ListParagraph"/>
        <w:numPr>
          <w:ilvl w:val="0"/>
          <w:numId w:val="3"/>
        </w:numPr>
        <w:spacing w:after="60"/>
      </w:pPr>
      <w:r>
        <w:rPr>
          <w:b/>
          <w:bCs/>
        </w:rPr>
        <w:t xml:space="preserve">Der Leitstandard</w:t>
      </w:r>
      <w:r>
        <w:t xml:space="preserve"> (Kapitel 2–3) ist die normative Autorität.</w:t>
      </w:r>
    </w:p>
    <w:p>
      <w:pPr>
        <w:pStyle w:val="ListParagraph"/>
        <w:numPr>
          <w:ilvl w:val="0"/>
          <w:numId w:val="3"/>
        </w:numPr>
        <w:spacing w:after="60"/>
      </w:pPr>
      <w:r>
        <w:rPr>
          <w:b/>
          <w:bCs/>
        </w:rPr>
        <w:t xml:space="preserve">Die Sprach- und Rhetorikregeln</w:t>
      </w:r>
      <w:r>
        <w:t xml:space="preserve"> (Kapitel 5) sind die Stilautorität.</w:t>
      </w:r>
    </w:p>
    <w:p>
      <w:pPr>
        <w:pStyle w:val="ListParagraph"/>
        <w:numPr>
          <w:ilvl w:val="0"/>
          <w:numId w:val="3"/>
        </w:numPr>
        <w:spacing w:after="60"/>
      </w:pPr>
      <w:r>
        <w:rPr>
          <w:b/>
          <w:bCs/>
        </w:rPr>
        <w:t xml:space="preserve">Die Exemplare</w:t>
      </w:r>
      <w:r>
        <w:t xml:space="preserve"> aus publizierten Lehrstuhl-Papern (und weitere, selbst gewählte Exemplare) dienen der Kalibrierung.</w:t>
      </w:r>
    </w:p>
    <w:p>
      <w:pPr>
        <w:spacing w:after="120"/>
      </w:pPr>
      <w:r>
        <w:t xml:space="preserve">Widerspricht ein Exemplar einer expliziten Regel, gilt die Regel. Einige Exemplare verwenden Formulierungen, die der Standard allein für unzureichend hält – diese Stellen sind im Manual markiert.</w:t>
      </w:r>
    </w:p>
    <w:p>
      <w:pPr>
        <w:pStyle w:val="Heading2"/>
      </w:pPr>
      <w:r>
        <w:t xml:space="preserve">1.3  Hinweis zu den Zitaten</w:t>
      </w:r>
    </w:p>
    <w:p>
      <w:pPr>
        <w:spacing w:after="120"/>
      </w:pPr>
      <w:r>
        <w:t xml:space="preserve">Alle englischen Zitate stammen wörtlich aus den publizierten Introductions der Lehrstuhl-Paper (Lehrstuhl für BWL, insb. Management, HHU Düsseldorf). Literaturverweise innerhalb der Zitate sind mit „(…)“ gekürzt. Die Zitate zeigen </w:t>
      </w:r>
      <w:r>
        <w:rPr>
          <w:b/>
          <w:bCs/>
        </w:rPr>
        <w:t xml:space="preserve">Techniken</w:t>
      </w:r>
      <w:r>
        <w:t xml:space="preserve">; sie sind keine Textbausteine. Formulierungen für das eigene Manuskript werden immer neu geschrieben.</w:t>
      </w:r>
    </w:p>
    <w:p>
      <w:pPr>
        <w:pStyle w:val="Heading1"/>
        <w:pageBreakBefore/>
      </w:pPr>
      <w:r>
        <w:t xml:space="preserve">2  Die Standardarchitektur</w:t>
      </w:r>
    </w:p>
    <w:p>
      <w:pPr>
        <w:spacing w:after="120"/>
      </w:pPr>
      <w:r>
        <w:t xml:space="preserve">Die Introduction folgt standardmäßig einer Argumentationskette aus sieben Bausteinen:</w:t>
      </w:r>
    </w:p>
    <w:p>
      <w:pPr>
        <w:pBdr>
          <w:top w:val="single" w:color="2E6DA4" w:sz="6" w:space="6"/>
          <w:bottom w:val="single" w:color="2E6DA4" w:sz="6" w:space="6"/>
        </w:pBdr>
        <w:shd w:fill="EEF3F8" w:color="auto" w:val="clear"/>
        <w:spacing w:after="200" w:before="160"/>
        <w:jc w:val="center"/>
      </w:pPr>
      <w:r>
        <w:rPr>
          <w:b/>
          <w:bCs/>
          <w:color w:val="1F3A5F"/>
          <w:sz w:val="22"/>
          <w:szCs w:val="22"/>
        </w:rPr>
        <w:t xml:space="preserve">Was wissen wir?  →  Was wissen wir nicht?  →  Warum ist es wichtig, das zu wissen?  →  Forschungsfrage  →  Theoretisches Argument / Forschungsmodell  →  Kurzer empirischer Ansatz  →  Drei Beiträge</w:t>
      </w:r>
    </w:p>
    <w:p>
      <w:pPr>
        <w:spacing w:after="120"/>
      </w:pPr>
      <w:r>
        <w:t xml:space="preserve">Das ist eine </w:t>
      </w:r>
      <w:r>
        <w:rPr>
          <w:b/>
          <w:bCs/>
        </w:rPr>
        <w:t xml:space="preserve">Standardarchitektur, keine mechanische Absatzschablone</w:t>
      </w:r>
      <w:r>
        <w:t xml:space="preserve">. Absätze können zusammenfallen oder sich aufteilen – entscheidend ist, dass jeder Baustein erkennbar vorhanden ist und logisch aus dem vorherigen folgt.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4538"/>
        <w:gridCol w:w="2700"/>
      </w:tblGrid>
      <w:tr>
        <w:trPr>
          <w:tblHeader/>
        </w:trPr>
        <w:tc>
          <w:tcPr>
            <w:tcW w:type="dxa" w:w="5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w:t>
            </w:r>
          </w:p>
        </w:tc>
        <w:tc>
          <w:tcPr>
            <w:tcW w:type="dxa" w:w="19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Baustein</w:t>
            </w:r>
          </w:p>
        </w:tc>
        <w:tc>
          <w:tcPr>
            <w:tcW w:type="dxa" w:w="4538"/>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Leitfrage</w:t>
            </w:r>
          </w:p>
        </w:tc>
        <w:tc>
          <w:tcPr>
            <w:tcW w:type="dxa" w:w="27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Typischer Umfang (Lehrstuhl-Benchmark)</w:t>
            </w:r>
          </w:p>
        </w:tc>
      </w:tr>
      <w:tr>
        <w:tc>
          <w:tcPr>
            <w:tcW w:type="dxa" w:w="5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1</w:t>
            </w:r>
          </w:p>
        </w:tc>
        <w:tc>
          <w:tcPr>
            <w:tcW w:type="dxa" w:w="19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Das Bekannte</w:t>
            </w:r>
          </w:p>
        </w:tc>
        <w:tc>
          <w:tcPr>
            <w:tcW w:type="dxa" w:w="45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Welche Theorie und welche gesicherten Befunde bilden den Ausgangspunkt?</w:t>
            </w:r>
          </w:p>
        </w:tc>
        <w:tc>
          <w:tcPr>
            <w:tcW w:type="dxa" w:w="27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1 Absatz</w:t>
            </w:r>
          </w:p>
        </w:tc>
      </w:tr>
      <w:tr>
        <w:tc>
          <w:tcPr>
            <w:tcW w:type="dxa" w:w="5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2</w:t>
            </w:r>
          </w:p>
        </w:tc>
        <w:tc>
          <w:tcPr>
            <w:tcW w:type="dxa" w:w="19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Lücke / Spannung</w:t>
            </w:r>
          </w:p>
        </w:tc>
        <w:tc>
          <w:tcPr>
            <w:tcW w:type="dxa" w:w="45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Welches theoretische Problem ist ungelöst – und warum?</w:t>
            </w:r>
          </w:p>
        </w:tc>
        <w:tc>
          <w:tcPr>
            <w:tcW w:type="dxa" w:w="27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1–2 Absätze</w:t>
            </w:r>
          </w:p>
        </w:tc>
      </w:tr>
      <w:tr>
        <w:tc>
          <w:tcPr>
            <w:tcW w:type="dxa" w:w="5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3</w:t>
            </w:r>
          </w:p>
        </w:tc>
        <w:tc>
          <w:tcPr>
            <w:tcW w:type="dxa" w:w="19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Relevanz</w:t>
            </w:r>
          </w:p>
        </w:tc>
        <w:tc>
          <w:tcPr>
            <w:tcW w:type="dxa" w:w="45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Warum kann bestehende Theorie ohne die Lösung etwas Wichtiges nicht erklären? (wissenschaftlich + praktisch)</w:t>
            </w:r>
          </w:p>
        </w:tc>
        <w:tc>
          <w:tcPr>
            <w:tcW w:type="dxa" w:w="27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1 Absatz</w:t>
            </w:r>
          </w:p>
        </w:tc>
      </w:tr>
      <w:tr>
        <w:tc>
          <w:tcPr>
            <w:tcW w:type="dxa" w:w="5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4</w:t>
            </w:r>
          </w:p>
        </w:tc>
        <w:tc>
          <w:tcPr>
            <w:tcW w:type="dxa" w:w="19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Forschungsfrage</w:t>
            </w:r>
          </w:p>
        </w:tc>
        <w:tc>
          <w:tcPr>
            <w:tcW w:type="dxa" w:w="45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Welche Frage folgt zwingend aus Lücke und Relevanz?</w:t>
            </w:r>
          </w:p>
        </w:tc>
        <w:tc>
          <w:tcPr>
            <w:tcW w:type="dxa" w:w="27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Am Ende des Relevanzabsatzes</w:t>
            </w:r>
          </w:p>
        </w:tc>
      </w:tr>
      <w:tr>
        <w:tc>
          <w:tcPr>
            <w:tcW w:type="dxa" w:w="5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5</w:t>
            </w:r>
          </w:p>
        </w:tc>
        <w:tc>
          <w:tcPr>
            <w:tcW w:type="dxa" w:w="19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Theoretisches Argument</w:t>
            </w:r>
          </w:p>
        </w:tc>
        <w:tc>
          <w:tcPr>
            <w:tcW w:type="dxa" w:w="45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Welche Theorie, welches zentrale Argument, welche Moderatoren?</w:t>
            </w:r>
          </w:p>
        </w:tc>
        <w:tc>
          <w:tcPr>
            <w:tcW w:type="dxa" w:w="27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1–2 Absätze</w:t>
            </w:r>
          </w:p>
        </w:tc>
      </w:tr>
      <w:tr>
        <w:tc>
          <w:tcPr>
            <w:tcW w:type="dxa" w:w="5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6</w:t>
            </w:r>
          </w:p>
        </w:tc>
        <w:tc>
          <w:tcPr>
            <w:tcW w:type="dxa" w:w="19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Empirische Vorschau</w:t>
            </w:r>
          </w:p>
        </w:tc>
        <w:tc>
          <w:tcPr>
            <w:tcW w:type="dxa" w:w="45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Stichprobe, Daten, Methode – kurz.</w:t>
            </w:r>
          </w:p>
        </w:tc>
        <w:tc>
          <w:tcPr>
            <w:tcW w:type="dxa" w:w="27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1 kurzer Absatz, 3–5 Sätze</w:t>
            </w:r>
          </w:p>
        </w:tc>
      </w:tr>
      <w:tr>
        <w:tc>
          <w:tcPr>
            <w:tcW w:type="dxa" w:w="5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7</w:t>
            </w:r>
          </w:p>
        </w:tc>
        <w:tc>
          <w:tcPr>
            <w:tcW w:type="dxa" w:w="19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Beiträge</w:t>
            </w:r>
          </w:p>
        </w:tc>
        <w:tc>
          <w:tcPr>
            <w:tcW w:type="dxa" w:w="45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Wie verändert die Studie das bisherige Verständnis?</w:t>
            </w:r>
          </w:p>
        </w:tc>
        <w:tc>
          <w:tcPr>
            <w:tcW w:type="dxa" w:w="27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Je 1 Absatz; ca. ¼ bis ⅓ der Introduction</w:t>
            </w:r>
          </w:p>
        </w:tc>
      </w:tr>
    </w:tbl>
    <w:p>
      <w:pPr>
        <w:spacing w:after="120"/>
      </w:pPr>
    </w:p>
    <w:p>
      <w:pPr>
        <w:pStyle w:val="Heading2"/>
      </w:pPr>
      <w:r>
        <w:t xml:space="preserve">2.1  Was am meisten zählt</w:t>
      </w:r>
    </w:p>
    <w:p>
      <w:pPr>
        <w:spacing w:after="120"/>
      </w:pPr>
      <w:r>
        <w:t xml:space="preserve">Nicht alle Elemente wiegen gleich schwer. Eine fertige Introduction wird zuerst an ihrem konzeptionellen Kern gemessen, dann an ihrer Struktur und erst zuletzt an der Formulierung. Eine elegant geschriebene Introduction ohne echte theoretische Lücke überzeugt nicht; eine starke Lücke mit holprigen Sätzen lässt sich dagegen retten. Die Rangfolge der Qualitätskriterien:</w:t>
      </w:r>
    </w:p>
    <w:p>
      <w:pPr>
        <w:pStyle w:val="ListParagraph"/>
        <w:numPr>
          <w:ilvl w:val="0"/>
          <w:numId w:val="4"/>
        </w:numPr>
        <w:spacing w:after="60"/>
      </w:pPr>
      <w:r>
        <w:t xml:space="preserve">Intellektuelle Notwendigkeit und ein klares fokales theoretisches Problem</w:t>
      </w:r>
    </w:p>
    <w:p>
      <w:pPr>
        <w:pStyle w:val="ListParagraph"/>
        <w:numPr>
          <w:ilvl w:val="0"/>
          <w:numId w:val="4"/>
        </w:numPr>
        <w:spacing w:after="60"/>
      </w:pPr>
      <w:r>
        <w:t xml:space="preserve">Eine echte Lücke bzw. Spannung</w:t>
      </w:r>
    </w:p>
    <w:p>
      <w:pPr>
        <w:pStyle w:val="ListParagraph"/>
        <w:numPr>
          <w:ilvl w:val="0"/>
          <w:numId w:val="4"/>
        </w:numPr>
        <w:spacing w:after="60"/>
      </w:pPr>
      <w:r>
        <w:t xml:space="preserve">Eine theoretische Begründung, warum die Lücke wichtig ist</w:t>
      </w:r>
    </w:p>
    <w:p>
      <w:pPr>
        <w:pStyle w:val="ListParagraph"/>
        <w:numPr>
          <w:ilvl w:val="0"/>
          <w:numId w:val="4"/>
        </w:numPr>
        <w:spacing w:after="60"/>
      </w:pPr>
      <w:r>
        <w:t xml:space="preserve">Eine explizite Forschungsfrage</w:t>
      </w:r>
    </w:p>
    <w:p>
      <w:pPr>
        <w:pStyle w:val="ListParagraph"/>
        <w:numPr>
          <w:ilvl w:val="0"/>
          <w:numId w:val="4"/>
        </w:numPr>
        <w:spacing w:after="60"/>
      </w:pPr>
      <w:r>
        <w:t xml:space="preserve">Ein zentrales theoretisches Argument bzw. Forschungsmodell</w:t>
      </w:r>
    </w:p>
    <w:p>
      <w:pPr>
        <w:pStyle w:val="ListParagraph"/>
        <w:numPr>
          <w:ilvl w:val="0"/>
          <w:numId w:val="4"/>
        </w:numPr>
        <w:spacing w:after="60"/>
      </w:pPr>
      <w:r>
        <w:t xml:space="preserve">Eine überzeugende Beitragslogik</w:t>
      </w:r>
    </w:p>
    <w:p>
      <w:pPr>
        <w:pStyle w:val="ListParagraph"/>
        <w:numPr>
          <w:ilvl w:val="0"/>
          <w:numId w:val="4"/>
        </w:numPr>
        <w:spacing w:after="60"/>
      </w:pPr>
      <w:r>
        <w:t xml:space="preserve">Eine stimmige Struktur und Proportionen</w:t>
      </w:r>
    </w:p>
    <w:p>
      <w:pPr>
        <w:pStyle w:val="ListParagraph"/>
        <w:numPr>
          <w:ilvl w:val="0"/>
          <w:numId w:val="4"/>
        </w:numPr>
        <w:spacing w:after="60"/>
      </w:pPr>
      <w:r>
        <w:t xml:space="preserve">Eine knapp kalibrierte empirische Vorschau</w:t>
      </w:r>
    </w:p>
    <w:p>
      <w:pPr>
        <w:pStyle w:val="ListParagraph"/>
        <w:numPr>
          <w:ilvl w:val="0"/>
          <w:numId w:val="4"/>
        </w:numPr>
        <w:spacing w:after="60"/>
      </w:pPr>
      <w:r>
        <w:t xml:space="preserve">Klare Sprache und saubere Formulierung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4E9A5B" w:sz="4"/>
              <w:left w:val="single" w:color="4E9A5B" w:sz="24"/>
              <w:bottom w:val="single" w:color="4E9A5B" w:sz="4"/>
              <w:right w:val="single" w:color="4E9A5B" w:sz="4"/>
            </w:tcBorders>
            <w:shd w:fill="EAF5EC" w:color="auto" w:val="clear"/>
            <w:tcMar>
              <w:top w:type="dxa" w:w="100"/>
              <w:left w:type="dxa" w:w="180"/>
              <w:bottom w:type="dxa" w:w="60"/>
              <w:right w:type="dxa" w:w="180"/>
            </w:tcMar>
          </w:tcPr>
          <w:p>
            <w:pPr>
              <w:spacing w:after="60"/>
            </w:pPr>
            <w:r>
              <w:rPr>
                <w:b/>
                <w:bCs/>
                <w:color w:val="4E9A5B"/>
              </w:rPr>
              <w:t xml:space="preserve">Merke:  </w:t>
            </w:r>
            <w:r>
              <w:t xml:space="preserve">Konzeptionelle Qualität schlägt Struktur; Struktur schlägt Formulierung. Eine gute Introduction ist deshalb vor allem eine, deren Kernargument sich in wenigen Sätzen wiedergeben lässt.</w:t>
            </w:r>
          </w:p>
        </w:tc>
      </w:tr>
    </w:tbl>
    <w:p>
      <w:pPr>
        <w:spacing w:after="80"/>
      </w:pPr>
    </w:p>
    <w:p>
      <w:pPr>
        <w:pStyle w:val="Heading2"/>
      </w:pPr>
      <w:r>
        <w:t xml:space="preserve">2.2  Passung als Qualitätsmerkmal</w:t>
      </w:r>
    </w:p>
    <w:p>
      <w:pPr>
        <w:spacing w:after="120"/>
      </w:pPr>
      <w:r>
        <w:t xml:space="preserve">In einer gelungenen Introduction greifen die Bausteine ineinander. Vier Übergänge müssen tragen:</w:t>
      </w:r>
    </w:p>
    <w:p>
      <w:pPr>
        <w:pStyle w:val="ListParagraph"/>
        <w:numPr>
          <w:ilvl w:val="0"/>
          <w:numId w:val="2"/>
        </w:numPr>
        <w:spacing w:after="60"/>
      </w:pPr>
      <w:r>
        <w:t xml:space="preserve">Die </w:t>
      </w:r>
      <w:r>
        <w:rPr>
          <w:b/>
          <w:bCs/>
        </w:rPr>
        <w:t xml:space="preserve">Forschungsfrage</w:t>
      </w:r>
      <w:r>
        <w:t xml:space="preserve"> folgt direkt aus Lücke und Relevanzargument.</w:t>
      </w:r>
    </w:p>
    <w:p>
      <w:pPr>
        <w:pStyle w:val="ListParagraph"/>
        <w:numPr>
          <w:ilvl w:val="0"/>
          <w:numId w:val="2"/>
        </w:numPr>
        <w:spacing w:after="60"/>
      </w:pPr>
      <w:r>
        <w:t xml:space="preserve">Das </w:t>
      </w:r>
      <w:r>
        <w:rPr>
          <w:b/>
          <w:bCs/>
        </w:rPr>
        <w:t xml:space="preserve">theoretische Argument</w:t>
      </w:r>
      <w:r>
        <w:t xml:space="preserve"> beantwortet genau diese Forschungsfrage.</w:t>
      </w:r>
    </w:p>
    <w:p>
      <w:pPr>
        <w:pStyle w:val="ListParagraph"/>
        <w:numPr>
          <w:ilvl w:val="0"/>
          <w:numId w:val="2"/>
        </w:numPr>
        <w:spacing w:after="60"/>
      </w:pPr>
      <w:r>
        <w:t xml:space="preserve">Die </w:t>
      </w:r>
      <w:r>
        <w:rPr>
          <w:b/>
          <w:bCs/>
        </w:rPr>
        <w:t xml:space="preserve">Beiträge</w:t>
      </w:r>
      <w:r>
        <w:t xml:space="preserve"> spezifizieren, wie sich das Verständnis verändert, das in der Lücke als unvollständig beschrieben wurde.</w:t>
      </w:r>
    </w:p>
    <w:p>
      <w:pPr>
        <w:pStyle w:val="ListParagraph"/>
        <w:numPr>
          <w:ilvl w:val="0"/>
          <w:numId w:val="2"/>
        </w:numPr>
        <w:spacing w:after="60"/>
      </w:pPr>
      <w:r>
        <w:t xml:space="preserve">Die </w:t>
      </w:r>
      <w:r>
        <w:rPr>
          <w:b/>
          <w:bCs/>
        </w:rPr>
        <w:t xml:space="preserve">empirische Vorschau</w:t>
      </w:r>
      <w:r>
        <w:t xml:space="preserve"> passt zu Frage und Argument, ohne den Methodenteil vorwegzunehmen.</w:t>
      </w:r>
    </w:p>
    <w:p>
      <w:pPr>
        <w:pStyle w:val="Heading1"/>
        <w:pageBreakBefore/>
      </w:pPr>
      <w:r>
        <w:t xml:space="preserve">3  Die Bausteine im Detail</w:t>
      </w:r>
    </w:p>
    <w:p>
      <w:pPr>
        <w:pStyle w:val="Heading2"/>
      </w:pPr>
      <w:r>
        <w:t xml:space="preserve">3.1  Einstieg: das Bekannte</w:t>
      </w:r>
    </w:p>
    <w:p>
      <w:pPr>
        <w:spacing w:after="120"/>
      </w:pPr>
      <w:r>
        <w:t xml:space="preserve">Der Einstieg legt den theoretischen Rahmen und die gesicherten Befunde fest, auf die sich die spätere Lücke bezieht. Lehrstuhl-Paper nennen die fokale Theorie im ersten oder zweiten Absatz. Die Literatur wird </w:t>
      </w:r>
      <w:r>
        <w:rPr>
          <w:b/>
          <w:bCs/>
        </w:rPr>
        <w:t xml:space="preserve">selektiv</w:t>
      </w:r>
      <w:r>
        <w:t xml:space="preserve"> eingesetzt – nur so viel, wie die Lücke braucht.</w:t>
      </w:r>
    </w:p>
    <w:p>
      <w:pPr>
        <w:pStyle w:val="Heading3"/>
      </w:pPr>
      <w:r>
        <w:t xml:space="preserve">Theorieverankerter Einstieg in drei Zügen</w:t>
      </w:r>
    </w:p>
    <w:p>
      <w:pPr>
        <w:pBdr>
          <w:left w:val="single" w:color="2E6DA4" w:sz="18" w:space="10"/>
        </w:pBdr>
        <w:shd w:fill="F5F7FA" w:color="auto" w:val="clear"/>
        <w:spacing w:after="40" w:before="120"/>
        <w:ind w:left="567" w:right="283"/>
      </w:pPr>
      <w:r>
        <w:rPr>
          <w:i/>
          <w:iCs/>
          <w:color w:val="333333"/>
        </w:rPr>
        <w:t xml:space="preserve">„While firms' long-term success depends on innovation (…), innovation is constrained by firms' inherently limited internal information and organizational inertia (…). Therefore, as resource dependency theory suggests (…), external information is also required to develop innovations.“</w:t>
      </w:r>
    </w:p>
    <w:p>
      <w:pPr>
        <w:spacing w:after="120"/>
        <w:ind w:left="567"/>
        <w:jc w:val="left"/>
      </w:pPr>
      <w:r>
        <w:rPr>
          <w:color w:val="5A6270"/>
          <w:sz w:val="18"/>
          <w:szCs w:val="18"/>
        </w:rPr>
        <w:t xml:space="preserve">— Engelen et al. (2026, JPIM)</w:t>
      </w:r>
    </w:p>
    <w:p>
      <w:pPr>
        <w:spacing w:after="140"/>
      </w:pPr>
      <w:r>
        <w:rPr>
          <w:b/>
          <w:bCs/>
          <w:color w:val="2E6DA4"/>
        </w:rPr>
        <w:t xml:space="preserve">Technik: </w:t>
      </w:r>
      <w:r>
        <w:t xml:space="preserve">Schon der erste Absatz nennt die Theorie und leitet die Relevanz des Phänomens daraus ab (Innovation → Beschränkung → theoriegestützte Abhilfe → CVC als diese Abhilfe). Leser kennen den theoretischen Rahmen, bevor das Phänomen eingeführt wird.</w:t>
      </w:r>
    </w:p>
    <w:p>
      <w:pPr>
        <w:pStyle w:val="Heading3"/>
      </w:pPr>
      <w:r>
        <w:t xml:space="preserve">Erst die Theorie, dann zwei etablierte Kategorien</w:t>
      </w:r>
    </w:p>
    <w:p>
      <w:pPr>
        <w:pBdr>
          <w:left w:val="single" w:color="2E6DA4" w:sz="18" w:space="10"/>
        </w:pBdr>
        <w:shd w:fill="F5F7FA" w:color="auto" w:val="clear"/>
        <w:spacing w:after="40" w:before="120"/>
        <w:ind w:left="567" w:right="283"/>
      </w:pPr>
      <w:r>
        <w:rPr>
          <w:i/>
          <w:iCs/>
          <w:color w:val="333333"/>
        </w:rPr>
        <w:t xml:space="preserve">„Consistent with upper echelons theory (…), the innovation management literature highlights that a firm's strategic emphasis on innovation is substantially influenced by the CEO's values and knowledge gained from experiences during their careers (…).“</w:t>
      </w:r>
    </w:p>
    <w:p>
      <w:pPr>
        <w:spacing w:after="120"/>
        <w:ind w:left="567"/>
        <w:jc w:val="left"/>
      </w:pPr>
      <w:r>
        <w:rPr>
          <w:color w:val="5A6270"/>
          <w:sz w:val="18"/>
          <w:szCs w:val="18"/>
        </w:rPr>
        <w:t xml:space="preserve">— Osses et al. (2024, JPIM)</w:t>
      </w:r>
    </w:p>
    <w:p>
      <w:pPr>
        <w:spacing w:after="140"/>
      </w:pPr>
      <w:r>
        <w:rPr>
          <w:b/>
          <w:bCs/>
          <w:color w:val="2E6DA4"/>
        </w:rPr>
        <w:t xml:space="preserve">Technik: </w:t>
      </w:r>
      <w:r>
        <w:t xml:space="preserve">Einstieg mit der Kernaussage der Theorie, dann Etablierung der zwei bekannten Kategorien (Founder-CEOs vs. professionelle CEOs) und ihrer Effekte. Das bereitet eine „dritte Kategorie“ als Lücke im nächsten Absatz vor.</w:t>
      </w:r>
    </w:p>
    <w:p>
      <w:pPr>
        <w:pStyle w:val="Heading3"/>
      </w:pPr>
      <w:r>
        <w:t xml:space="preserve">Phänomengetriebener Einstieg</w:t>
      </w:r>
    </w:p>
    <w:p>
      <w:pPr>
        <w:pBdr>
          <w:left w:val="single" w:color="2E6DA4" w:sz="18" w:space="10"/>
        </w:pBdr>
        <w:shd w:fill="F5F7FA" w:color="auto" w:val="clear"/>
        <w:spacing w:after="40" w:before="120"/>
        <w:ind w:left="567" w:right="283"/>
      </w:pPr>
      <w:r>
        <w:rPr>
          <w:i/>
          <w:iCs/>
          <w:color w:val="333333"/>
        </w:rPr>
        <w:t xml:space="preserve">„The COVID-19 pandemic is the most recent example of a systemic shock with a global reach, yet far from the first one.“</w:t>
      </w:r>
    </w:p>
    <w:p>
      <w:pPr>
        <w:spacing w:after="120"/>
        <w:ind w:left="567"/>
        <w:jc w:val="left"/>
      </w:pPr>
      <w:r>
        <w:rPr>
          <w:color w:val="5A6270"/>
          <w:sz w:val="18"/>
          <w:szCs w:val="18"/>
        </w:rPr>
        <w:t xml:space="preserve">— Engelen et al. (2023, JPIM)</w:t>
      </w:r>
    </w:p>
    <w:p>
      <w:pPr>
        <w:spacing w:after="140"/>
      </w:pPr>
      <w:r>
        <w:rPr>
          <w:b/>
          <w:bCs/>
          <w:color w:val="2E6DA4"/>
        </w:rPr>
        <w:t xml:space="preserve">Technik: </w:t>
      </w:r>
      <w:r>
        <w:t xml:space="preserve">Ein konkretes, wiederkehrendes Phänomen macht die Relevanz selbsterklärend. Unmittelbar danach folgen die Theorie („According to the theory of organizational resilience…“) und das, was die Literatur bereits über Merkmale vor dem Schock weiß. Der Phänomen-Aufhänger ist kurz und dient der Forschungsfrage.</w:t>
      </w:r>
    </w:p>
    <w:p>
      <w:pPr>
        <w:pStyle w:val="Heading3"/>
      </w:pPr>
      <w:r>
        <w:t xml:space="preserve">Breiter Einstieg, verengt auf den etablierten Befund</w:t>
      </w:r>
    </w:p>
    <w:p>
      <w:pPr>
        <w:pBdr>
          <w:left w:val="single" w:color="2E6DA4" w:sz="18" w:space="10"/>
        </w:pBdr>
        <w:shd w:fill="F5F7FA" w:color="auto" w:val="clear"/>
        <w:spacing w:after="40" w:before="120"/>
        <w:ind w:left="567" w:right="283"/>
      </w:pPr>
      <w:r>
        <w:rPr>
          <w:i/>
          <w:iCs/>
          <w:color w:val="333333"/>
        </w:rPr>
        <w:t xml:space="preserve">„Existing research indeed finds that in response to a major economic crisis (…) they often reduce their R&amp;D activities.“</w:t>
      </w:r>
    </w:p>
    <w:p>
      <w:pPr>
        <w:spacing w:after="120"/>
        <w:ind w:left="567"/>
        <w:jc w:val="left"/>
      </w:pPr>
      <w:r>
        <w:rPr>
          <w:color w:val="5A6270"/>
          <w:sz w:val="18"/>
          <w:szCs w:val="18"/>
        </w:rPr>
        <w:t xml:space="preserve">— Haeberle et al. (2026, JPIM)</w:t>
      </w:r>
    </w:p>
    <w:p>
      <w:pPr>
        <w:spacing w:after="140"/>
      </w:pPr>
      <w:r>
        <w:rPr>
          <w:b/>
          <w:bCs/>
          <w:color w:val="2E6DA4"/>
        </w:rPr>
        <w:t xml:space="preserve">Technik: </w:t>
      </w:r>
      <w:r>
        <w:t xml:space="preserve">Die dominante empirische Regelmäßigkeit wird klar benannt – weil die Lücke später fragt, ob sie sich übertragen lässt.</w:t>
      </w:r>
    </w:p>
    <w:p>
      <w:pPr>
        <w:pStyle w:val="Heading2"/>
      </w:pPr>
      <w:r>
        <w:t xml:space="preserve">3.2  Lücke und Spannung</w:t>
      </w:r>
    </w:p>
    <w:p>
      <w:pPr>
        <w:spacing w:after="120"/>
      </w:pPr>
      <w:r>
        <w:t xml:space="preserve">Hier entscheidet sich die intellektuelle Notwendigkeit. Der Standard belohnt </w:t>
      </w:r>
      <w:r>
        <w:rPr>
          <w:b/>
          <w:bCs/>
        </w:rPr>
        <w:t xml:space="preserve">nicht</w:t>
      </w:r>
      <w:r>
        <w:t xml:space="preserve"> bloße Neuheit.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A030" w:sz="4"/>
              <w:left w:val="single" w:color="E0A030" w:sz="24"/>
              <w:bottom w:val="single" w:color="E0A030" w:sz="4"/>
              <w:right w:val="single" w:color="E0A030" w:sz="4"/>
            </w:tcBorders>
            <w:shd w:fill="FFF4E0" w:color="auto" w:val="clear"/>
            <w:tcMar>
              <w:top w:type="dxa" w:w="100"/>
              <w:left w:type="dxa" w:w="180"/>
              <w:bottom w:type="dxa" w:w="60"/>
              <w:right w:type="dxa" w:w="180"/>
            </w:tcMar>
          </w:tcPr>
          <w:p>
            <w:pPr>
              <w:spacing w:after="60"/>
            </w:pPr>
            <w:r>
              <w:rPr>
                <w:b/>
                <w:bCs/>
                <w:color w:val="E0A030"/>
              </w:rPr>
              <w:t xml:space="preserve">Achtung:  </w:t>
            </w:r>
            <w:r>
              <w:t xml:space="preserve">Formulierungen wie „nobody has studied X“, „little research“, „overlooked“, „first“ oder „understudied“ reichen als theoretische Kernlücke normalerweise </w:t>
            </w:r>
            <w:r>
              <w:rPr>
                <w:b/>
                <w:bCs/>
              </w:rPr>
              <w:t xml:space="preserve">nicht</w:t>
            </w:r>
            <w:r>
              <w:t xml:space="preserve"> aus.</w:t>
            </w:r>
          </w:p>
          <w:p>
            <w:pPr>
              <w:spacing w:after="60"/>
            </w:pPr>
            <w:r>
              <w:t xml:space="preserve">Sie beschreiben eine Abdeckungslücke, kein theoretisches Problem. Ein Thema ist nicht deshalb wichtig, weil es noch niemand untersucht hat.</w:t>
            </w:r>
          </w:p>
        </w:tc>
      </w:tr>
    </w:tbl>
    <w:p>
      <w:pPr>
        <w:spacing w:after="80"/>
      </w:pPr>
    </w:p>
    <w:p>
      <w:pPr>
        <w:spacing w:after="120"/>
      </w:pPr>
      <w:r>
        <w:t xml:space="preserve">Bevorzugt wird eine Lücke, die auf einem der folgenden Typen beruht: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538"/>
      </w:tblGrid>
      <w:tr>
        <w:trPr>
          <w:tblHeader/>
        </w:trPr>
        <w:tc>
          <w:tcPr>
            <w:tcW w:type="dxa" w:w="26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Lückentyp</w:t>
            </w:r>
          </w:p>
        </w:tc>
        <w:tc>
          <w:tcPr>
            <w:tcW w:type="dxa" w:w="35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Kern</w:t>
            </w:r>
          </w:p>
        </w:tc>
        <w:tc>
          <w:tcPr>
            <w:tcW w:type="dxa" w:w="3538"/>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Lehrstuhl-Beispiel</w:t>
            </w:r>
          </w:p>
        </w:tc>
      </w:tr>
      <w:tr>
        <w:tc>
          <w:tcPr>
            <w:tcW w:type="dxa" w:w="26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Theoretische Spannung / widerstreitende Logiken</w:t>
            </w:r>
          </w:p>
        </w:tc>
        <w:tc>
          <w:tcPr>
            <w:tcW w:type="dxa" w:w="35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Zwei etablierte Logiken sagen Gegensätzliches voraus.</w:t>
            </w:r>
          </w:p>
        </w:tc>
        <w:tc>
          <w:tcPr>
            <w:tcW w:type="dxa" w:w="35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Osses et al. (2024): Handeln externe Founder-CEOs wie Gründer oder wie Manager?</w:t>
            </w:r>
          </w:p>
        </w:tc>
      </w:tr>
      <w:tr>
        <w:tc>
          <w:tcPr>
            <w:tcW w:type="dxa" w:w="26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Ungelöster Mechanismus</w:t>
            </w:r>
          </w:p>
        </w:tc>
        <w:tc>
          <w:tcPr>
            <w:tcW w:type="dxa" w:w="35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Wie genau wirkt X auf Y? Ein zweiter Pfad ist ungeklärt.</w:t>
            </w:r>
          </w:p>
        </w:tc>
        <w:tc>
          <w:tcPr>
            <w:tcW w:type="dxa" w:w="35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Brandenburg et al. (2026): „venture-building path“</w:t>
            </w:r>
          </w:p>
        </w:tc>
      </w:tr>
      <w:tr>
        <w:tc>
          <w:tcPr>
            <w:tcW w:type="dxa" w:w="26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Problematische Annahme</w:t>
            </w:r>
          </w:p>
        </w:tc>
        <w:tc>
          <w:tcPr>
            <w:tcW w:type="dxa" w:w="35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Die Literatur unterstellt stillschweigend Homogenität o. Ä.</w:t>
            </w:r>
          </w:p>
        </w:tc>
        <w:tc>
          <w:tcPr>
            <w:tcW w:type="dxa" w:w="35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Engelen et al. (2026): statische Behandlung von CVC-Runden</w:t>
            </w:r>
          </w:p>
        </w:tc>
      </w:tr>
      <w:tr>
        <w:tc>
          <w:tcPr>
            <w:tcW w:type="dxa" w:w="26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Randbedingung</w:t>
            </w:r>
          </w:p>
        </w:tc>
        <w:tc>
          <w:tcPr>
            <w:tcW w:type="dxa" w:w="35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Theorie aus einem Kontext überträgt sich nicht auf einen anderen.</w:t>
            </w:r>
          </w:p>
        </w:tc>
        <w:tc>
          <w:tcPr>
            <w:tcW w:type="dxa" w:w="35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Haeberle et al. (2026): etablierte Firmen vs. Ventures in der Krise</w:t>
            </w:r>
          </w:p>
        </w:tc>
      </w:tr>
      <w:tr>
        <w:tc>
          <w:tcPr>
            <w:tcW w:type="dxa" w:w="26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Unvollständige Konzeptualisierung / Analyseebene</w:t>
            </w:r>
          </w:p>
        </w:tc>
        <w:tc>
          <w:tcPr>
            <w:tcW w:type="dxa" w:w="35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Das Konstrukt wird auf der falschen Ebene oder zu grob erfasst.</w:t>
            </w:r>
          </w:p>
        </w:tc>
        <w:tc>
          <w:tcPr>
            <w:tcW w:type="dxa" w:w="35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Lang et al. (2025): Solo-Gründer statt Gründerteams</w:t>
            </w:r>
          </w:p>
        </w:tc>
      </w:tr>
      <w:tr>
        <w:tc>
          <w:tcPr>
            <w:tcW w:type="dxa" w:w="26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Empirisches Rätsel</w:t>
            </w:r>
          </w:p>
        </w:tc>
        <w:tc>
          <w:tcPr>
            <w:tcW w:type="dxa" w:w="35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Beobachtungen, die bestehende Befunde nicht erklären können.</w:t>
            </w:r>
          </w:p>
        </w:tc>
        <w:tc>
          <w:tcPr>
            <w:tcW w:type="dxa" w:w="35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von Nitzsch et al. (2026): erfolgreiche Ventures ohne Marketing-Gründer oder CMO</w:t>
            </w:r>
          </w:p>
        </w:tc>
      </w:tr>
      <w:tr>
        <w:tc>
          <w:tcPr>
            <w:tcW w:type="dxa" w:w="26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Konkurrierende Erwartungen / divergierende Sichtweisen</w:t>
            </w:r>
          </w:p>
        </w:tc>
        <w:tc>
          <w:tcPr>
            <w:tcW w:type="dxa" w:w="35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Plausible Argumente stehen gegeneinander; die Frage ist aus einem inhaltlichen Grund offen.</w:t>
            </w:r>
          </w:p>
        </w:tc>
        <w:tc>
          <w:tcPr>
            <w:tcW w:type="dxa" w:w="35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Engelen et al. (2023); Rieger et al. (2024)</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4E9A5B" w:sz="4"/>
              <w:left w:val="single" w:color="4E9A5B" w:sz="24"/>
              <w:bottom w:val="single" w:color="4E9A5B" w:sz="4"/>
              <w:right w:val="single" w:color="4E9A5B" w:sz="4"/>
            </w:tcBorders>
            <w:shd w:fill="EAF5EC" w:color="auto" w:val="clear"/>
            <w:tcMar>
              <w:top w:type="dxa" w:w="100"/>
              <w:left w:type="dxa" w:w="180"/>
              <w:bottom w:type="dxa" w:w="60"/>
              <w:right w:type="dxa" w:w="180"/>
            </w:tcMar>
          </w:tcPr>
          <w:p>
            <w:pPr>
              <w:spacing w:after="60"/>
            </w:pPr>
            <w:r>
              <w:rPr>
                <w:b/>
                <w:bCs/>
                <w:color w:val="4E9A5B"/>
              </w:rPr>
              <w:t xml:space="preserve">Kontext-Regel:  </w:t>
            </w:r>
            <w:r>
              <w:t xml:space="preserve">Ein neuer Kontext ist nur dann theoretisch wertvoll, wenn er </w:t>
            </w:r>
            <w:r>
              <w:rPr>
                <w:b/>
                <w:bCs/>
              </w:rPr>
              <w:t xml:space="preserve">Mechanismen, Annahmen, Informationsbedingungen, Restriktionen oder erwartete Zusammenhänge verändert</w:t>
            </w:r>
            <w:r>
              <w:t xml:space="preserve"> (siehe 3.3).</w:t>
            </w:r>
          </w:p>
        </w:tc>
      </w:tr>
    </w:tbl>
    <w:p>
      <w:pPr>
        <w:spacing w:after="80"/>
      </w:pPr>
    </w:p>
    <w:p>
      <w:pPr>
        <w:pStyle w:val="Heading3"/>
      </w:pPr>
      <w:r>
        <w:t xml:space="preserve">Die fünf Prüffragen zur Lücke</w:t>
      </w:r>
    </w:p>
    <w:p>
      <w:pPr>
        <w:spacing w:after="120"/>
      </w:pPr>
      <w:r>
        <w:t xml:space="preserve">Diese Fragen immer getrennt beantworten:</w:t>
      </w:r>
    </w:p>
    <w:p>
      <w:pPr>
        <w:pStyle w:val="ListParagraph"/>
        <w:numPr>
          <w:ilvl w:val="0"/>
          <w:numId w:val="5"/>
        </w:numPr>
        <w:spacing w:after="60"/>
      </w:pPr>
      <w:r>
        <w:t xml:space="preserve">Gibt es eine </w:t>
      </w:r>
      <w:r>
        <w:rPr>
          <w:b/>
          <w:bCs/>
        </w:rPr>
        <w:t xml:space="preserve">echte</w:t>
      </w:r>
      <w:r>
        <w:t xml:space="preserve"> Lücke/Spannung?</w:t>
      </w:r>
    </w:p>
    <w:p>
      <w:pPr>
        <w:pStyle w:val="ListParagraph"/>
        <w:numPr>
          <w:ilvl w:val="0"/>
          <w:numId w:val="5"/>
        </w:numPr>
        <w:spacing w:after="60"/>
      </w:pPr>
      <w:r>
        <w:rPr>
          <w:b/>
          <w:bCs/>
        </w:rPr>
        <w:t xml:space="preserve">Warum</w:t>
      </w:r>
      <w:r>
        <w:t xml:space="preserve"> ist diese Lücke theoretisch wichtig?</w:t>
      </w:r>
    </w:p>
    <w:p>
      <w:pPr>
        <w:pStyle w:val="ListParagraph"/>
        <w:numPr>
          <w:ilvl w:val="0"/>
          <w:numId w:val="5"/>
        </w:numPr>
        <w:spacing w:after="60"/>
      </w:pPr>
      <w:r>
        <w:rPr>
          <w:b/>
          <w:bCs/>
        </w:rPr>
        <w:t xml:space="preserve">Folgt</w:t>
      </w:r>
      <w:r>
        <w:t xml:space="preserve"> die Forschungsfrage daraus?</w:t>
      </w:r>
    </w:p>
    <w:p>
      <w:pPr>
        <w:pStyle w:val="ListParagraph"/>
        <w:numPr>
          <w:ilvl w:val="0"/>
          <w:numId w:val="5"/>
        </w:numPr>
        <w:spacing w:after="60"/>
      </w:pPr>
      <w:r>
        <w:rPr>
          <w:b/>
          <w:bCs/>
        </w:rPr>
        <w:t xml:space="preserve">Beantwortet</w:t>
      </w:r>
      <w:r>
        <w:t xml:space="preserve"> das theoretische Argument die Forschungsfrage?</w:t>
      </w:r>
    </w:p>
    <w:p>
      <w:pPr>
        <w:pStyle w:val="ListParagraph"/>
        <w:numPr>
          <w:ilvl w:val="0"/>
          <w:numId w:val="5"/>
        </w:numPr>
        <w:spacing w:after="60"/>
      </w:pPr>
      <w:r>
        <w:rPr>
          <w:b/>
          <w:bCs/>
        </w:rPr>
        <w:t xml:space="preserve">Spezifizieren</w:t>
      </w:r>
      <w:r>
        <w:t xml:space="preserve"> die Beiträge, wie sich das bisherige Verständnis verändert?</w:t>
      </w:r>
    </w:p>
    <w:p>
      <w:pPr>
        <w:pStyle w:val="Heading3"/>
      </w:pPr>
      <w:r>
        <w:t xml:space="preserve">Exemplare</w:t>
      </w:r>
    </w:p>
    <w:p>
      <w:pPr>
        <w:spacing w:after="120"/>
      </w:pPr>
      <w:r>
        <w:rPr>
          <w:b/>
          <w:bCs/>
        </w:rPr>
        <w:t xml:space="preserve">Gemischte Befunde – plus eine Erklärung dafür (Goldstandard)</w:t>
      </w:r>
    </w:p>
    <w:p>
      <w:pPr>
        <w:pBdr>
          <w:left w:val="single" w:color="2E6DA4" w:sz="18" w:space="10"/>
        </w:pBdr>
        <w:shd w:fill="F5F7FA" w:color="auto" w:val="clear"/>
        <w:spacing w:after="40" w:before="120"/>
        <w:ind w:left="567" w:right="283"/>
      </w:pPr>
      <w:r>
        <w:rPr>
          <w:i/>
          <w:iCs/>
          <w:color w:val="333333"/>
        </w:rPr>
        <w:t xml:space="preserve">„However, empirical evidence on CVC investing's effects on investors' innovation is mixed (…). One possible explanation might originate in much existing research's static treatment of CVC investments by not differentiating between different investment rounds (…).“</w:t>
      </w:r>
    </w:p>
    <w:p>
      <w:pPr>
        <w:spacing w:after="120"/>
        <w:ind w:left="567"/>
        <w:jc w:val="left"/>
      </w:pPr>
      <w:r>
        <w:rPr>
          <w:color w:val="5A6270"/>
          <w:sz w:val="18"/>
          <w:szCs w:val="18"/>
        </w:rPr>
        <w:t xml:space="preserve">— Engelen et al. (2026, JPIM)</w:t>
      </w:r>
    </w:p>
    <w:p>
      <w:pPr>
        <w:spacing w:after="140"/>
      </w:pPr>
      <w:r>
        <w:rPr>
          <w:b/>
          <w:bCs/>
          <w:color w:val="2E6DA4"/>
        </w:rPr>
        <w:t xml:space="preserve">Technik: </w:t>
      </w:r>
      <w:r>
        <w:t xml:space="preserve">Der Absatz bleibt nicht bei „die Befunde sind gemischt“ stehen, sondern liefert einen </w:t>
      </w:r>
      <w:r>
        <w:rPr>
          <w:b/>
          <w:bCs/>
        </w:rPr>
        <w:t xml:space="preserve">theoretischen Grund</w:t>
      </w:r>
      <w:r>
        <w:t xml:space="preserve"> für die Inkonsistenz: eine problematische Annahme (Runden werden als homogen behandelt). Die Lücke wird damit zu einer problematischen Annahme statt zu einer fehlenden Studie.</w:t>
      </w:r>
    </w:p>
    <w:p>
      <w:pPr>
        <w:spacing w:after="120"/>
      </w:pPr>
      <w:r>
        <w:rPr>
          <w:b/>
          <w:bCs/>
        </w:rPr>
        <w:t xml:space="preserve">Gemischte Befunde plus Limitierung der Analyseebene</w:t>
      </w:r>
    </w:p>
    <w:p>
      <w:pPr>
        <w:pBdr>
          <w:left w:val="single" w:color="2E6DA4" w:sz="18" w:space="10"/>
        </w:pBdr>
        <w:shd w:fill="F5F7FA" w:color="auto" w:val="clear"/>
        <w:spacing w:after="40" w:before="120"/>
        <w:ind w:left="567" w:right="283"/>
      </w:pPr>
      <w:r>
        <w:rPr>
          <w:i/>
          <w:iCs/>
          <w:color w:val="333333"/>
        </w:rPr>
        <w:t xml:space="preserve">„However, these studies investigate the narcissism of solo founders, thereby neglecting a significant share of ventures founded by teams (…).“</w:t>
      </w:r>
    </w:p>
    <w:p>
      <w:pPr>
        <w:spacing w:after="120"/>
        <w:ind w:left="567"/>
        <w:jc w:val="left"/>
      </w:pPr>
      <w:r>
        <w:rPr>
          <w:color w:val="5A6270"/>
          <w:sz w:val="18"/>
          <w:szCs w:val="18"/>
        </w:rPr>
        <w:t xml:space="preserve">— Lang et al. (2025, JBV)</w:t>
      </w:r>
    </w:p>
    <w:p>
      <w:pPr>
        <w:spacing w:after="140"/>
      </w:pPr>
      <w:r>
        <w:rPr>
          <w:b/>
          <w:bCs/>
          <w:color w:val="2E6DA4"/>
        </w:rPr>
        <w:t xml:space="preserve">Technik: </w:t>
      </w:r>
      <w:r>
        <w:t xml:space="preserve">Die Analyseeinheit der Literatur ist das Problem. Die folgenden Sätze erklären, </w:t>
      </w:r>
      <w:r>
        <w:rPr>
          <w:i/>
          <w:iCs/>
        </w:rPr>
        <w:t xml:space="preserve">warum</w:t>
      </w:r>
      <w:r>
        <w:t xml:space="preserve"> die Teamebene den Mechanismus verändert (intensive tägliche Interaktion, informelle Koordination, relationale Natur des Narzissmus). Damit ist die Lücke theoretisch, nicht bloß eine Frage der Abdeckung.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A030" w:sz="4"/>
              <w:left w:val="single" w:color="E0A030" w:sz="24"/>
              <w:bottom w:val="single" w:color="E0A030" w:sz="4"/>
              <w:right w:val="single" w:color="E0A030" w:sz="4"/>
            </w:tcBorders>
            <w:shd w:fill="FFF4E0" w:color="auto" w:val="clear"/>
            <w:tcMar>
              <w:top w:type="dxa" w:w="100"/>
              <w:left w:type="dxa" w:w="180"/>
              <w:bottom w:type="dxa" w:w="60"/>
              <w:right w:type="dxa" w:w="180"/>
            </w:tcMar>
          </w:tcPr>
          <w:p>
            <w:pPr>
              <w:spacing w:after="60"/>
            </w:pPr>
            <w:r>
              <w:rPr>
                <w:b/>
                <w:bCs/>
                <w:color w:val="E0A030"/>
              </w:rPr>
              <w:t xml:space="preserve">Achtung:  </w:t>
            </w:r>
            <w:r>
              <w:t xml:space="preserve">„neglecting“ trägt nur, weil das Mechanismus-Argument folgt. Ohne dieses Argument wäre es eine reine Abdeckungslücke.</w:t>
            </w:r>
          </w:p>
        </w:tc>
      </w:tr>
    </w:tbl>
    <w:p>
      <w:pPr>
        <w:spacing w:after="80"/>
      </w:pPr>
    </w:p>
    <w:p>
      <w:pPr>
        <w:spacing w:after="120"/>
      </w:pPr>
      <w:r>
        <w:rPr>
          <w:b/>
          <w:bCs/>
        </w:rPr>
        <w:t xml:space="preserve">Widerstreitende Logiken in einer hybriden Kategorie</w:t>
      </w:r>
    </w:p>
    <w:p>
      <w:pPr>
        <w:pBdr>
          <w:left w:val="single" w:color="2E6DA4" w:sz="18" w:space="10"/>
        </w:pBdr>
        <w:shd w:fill="F5F7FA" w:color="auto" w:val="clear"/>
        <w:spacing w:after="40" w:before="120"/>
        <w:ind w:left="567" w:right="283"/>
      </w:pPr>
      <w:r>
        <w:rPr>
          <w:i/>
          <w:iCs/>
          <w:color w:val="333333"/>
        </w:rPr>
        <w:t xml:space="preserve">„(…) external founder CEOs have 'switched career paths' (…) and are likely to have assembled partly conflicting values and knowledge from their founding and corporate experiences. Therefore, anticipating external founder CEOs' influence on a firm's strategic emphasis on innovation is difficult: Will they act more like founder CEOs or like professional CEOs?“</w:t>
      </w:r>
    </w:p>
    <w:p>
      <w:pPr>
        <w:spacing w:after="120"/>
        <w:ind w:left="567"/>
        <w:jc w:val="left"/>
      </w:pPr>
      <w:r>
        <w:rPr>
          <w:color w:val="5A6270"/>
          <w:sz w:val="18"/>
          <w:szCs w:val="18"/>
        </w:rPr>
        <w:t xml:space="preserve">— Osses et al. (2024, JPIM)</w:t>
      </w:r>
    </w:p>
    <w:p>
      <w:pPr>
        <w:spacing w:after="140"/>
      </w:pPr>
      <w:r>
        <w:rPr>
          <w:b/>
          <w:bCs/>
          <w:color w:val="2E6DA4"/>
        </w:rPr>
        <w:t xml:space="preserve">Technik: </w:t>
      </w:r>
      <w:r>
        <w:t xml:space="preserve">Eine echte theoretische Spannung: zwei etablierte Logiken ziehen in entgegengesetzte Richtungen, bestehende Theorie kann das Ergebnis nicht vorhersagen. Die rhetorische Frage macht das Rätsel greifbar.</w:t>
      </w:r>
    </w:p>
    <w:p>
      <w:pPr>
        <w:spacing w:after="120"/>
      </w:pPr>
      <w:r>
        <w:rPr>
          <w:b/>
          <w:bCs/>
        </w:rPr>
        <w:t xml:space="preserve">Konkurrierende Erwartungen</w:t>
      </w:r>
    </w:p>
    <w:p>
      <w:pPr>
        <w:pBdr>
          <w:left w:val="single" w:color="2E6DA4" w:sz="18" w:space="10"/>
        </w:pBdr>
        <w:shd w:fill="F5F7FA" w:color="auto" w:val="clear"/>
        <w:spacing w:after="40" w:before="120"/>
        <w:ind w:left="567" w:right="283"/>
      </w:pPr>
      <w:r>
        <w:rPr>
          <w:i/>
          <w:iCs/>
          <w:color w:val="333333"/>
        </w:rPr>
        <w:t xml:space="preserve">„Sparing monetary resources and pursuing more down-to-earth activities may appear better preparations for possible shocks than investing in R&amp;D and innovation (…). However, a pre-shock strategic emphasis on innovation may equip firms with such resources as ideas, technologies, stakeholder relationships, and innovation-friendly values (…).“</w:t>
      </w:r>
    </w:p>
    <w:p>
      <w:pPr>
        <w:spacing w:after="120"/>
        <w:ind w:left="567"/>
        <w:jc w:val="left"/>
      </w:pPr>
      <w:r>
        <w:rPr>
          <w:color w:val="5A6270"/>
          <w:sz w:val="18"/>
          <w:szCs w:val="18"/>
        </w:rPr>
        <w:t xml:space="preserve">— Engelen et al. (2023, JPIM)</w:t>
      </w:r>
    </w:p>
    <w:p>
      <w:pPr>
        <w:spacing w:after="140"/>
      </w:pPr>
      <w:r>
        <w:rPr>
          <w:b/>
          <w:bCs/>
          <w:color w:val="2E6DA4"/>
        </w:rPr>
        <w:t xml:space="preserve">Technik: </w:t>
      </w:r>
      <w:r>
        <w:t xml:space="preserve">Zwei plausible, gegensätzliche Argumente werden gegeneinandergestellt; die Frage ist damit aus einem inhaltlichen Grund offen.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A030" w:sz="4"/>
              <w:left w:val="single" w:color="E0A030" w:sz="24"/>
              <w:bottom w:val="single" w:color="E0A030" w:sz="4"/>
              <w:right w:val="single" w:color="E0A030" w:sz="4"/>
            </w:tcBorders>
            <w:shd w:fill="FFF4E0" w:color="auto" w:val="clear"/>
            <w:tcMar>
              <w:top w:type="dxa" w:w="100"/>
              <w:left w:type="dxa" w:w="180"/>
              <w:bottom w:type="dxa" w:w="60"/>
              <w:right w:type="dxa" w:w="180"/>
            </w:tcMar>
          </w:tcPr>
          <w:p>
            <w:pPr>
              <w:spacing w:after="60"/>
            </w:pPr>
            <w:r>
              <w:rPr>
                <w:b/>
                <w:bCs/>
                <w:color w:val="E0A030"/>
              </w:rPr>
              <w:t xml:space="preserve">Achtung:  </w:t>
            </w:r>
            <w:r>
              <w:t xml:space="preserve">Der Absatz beginnt mit „Unknown, however, is whether…“ – einer Neuheitsrahmung. Die gegeneinandergestellten Erwartungen machen daraus erst eine echte Lücke.</w:t>
            </w:r>
          </w:p>
        </w:tc>
      </w:tr>
    </w:tbl>
    <w:p>
      <w:pPr>
        <w:spacing w:after="80"/>
      </w:pPr>
    </w:p>
    <w:p>
      <w:pPr>
        <w:spacing w:after="120"/>
      </w:pPr>
      <w:r>
        <w:rPr>
          <w:b/>
          <w:bCs/>
        </w:rPr>
        <w:t xml:space="preserve">Auslassung plus empirisches Rätsel</w:t>
      </w:r>
    </w:p>
    <w:p>
      <w:pPr>
        <w:pBdr>
          <w:left w:val="single" w:color="2E6DA4" w:sz="18" w:space="10"/>
        </w:pBdr>
        <w:shd w:fill="F5F7FA" w:color="auto" w:val="clear"/>
        <w:spacing w:after="40" w:before="120"/>
        <w:ind w:left="567" w:right="283"/>
      </w:pPr>
      <w:r>
        <w:rPr>
          <w:i/>
          <w:iCs/>
          <w:color w:val="333333"/>
        </w:rPr>
        <w:t xml:space="preserve">„These considerations explain the not-so-uncommon observations of successful ventures without marketing-experienced founders or CMOs, which somewhat contradict prior empirical findings.“</w:t>
      </w:r>
    </w:p>
    <w:p>
      <w:pPr>
        <w:spacing w:after="120"/>
        <w:ind w:left="567"/>
        <w:jc w:val="left"/>
      </w:pPr>
      <w:r>
        <w:rPr>
          <w:color w:val="5A6270"/>
          <w:sz w:val="18"/>
          <w:szCs w:val="18"/>
        </w:rPr>
        <w:t xml:space="preserve">— von Nitzsch et al. (2026, JAMS)</w:t>
      </w:r>
    </w:p>
    <w:p>
      <w:pPr>
        <w:spacing w:after="140"/>
      </w:pPr>
      <w:r>
        <w:rPr>
          <w:b/>
          <w:bCs/>
          <w:color w:val="2E6DA4"/>
        </w:rPr>
        <w:t xml:space="preserve">Technik: </w:t>
      </w:r>
      <w:r>
        <w:t xml:space="preserve">Eine Auslassung („overlooked … middle and lower levels“) wird in ein Rätsel verwandelt: Es gibt Fälle, die bestehende Befunde nicht erklären können – illustriert mit einem namentlich genannten Venture.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A030" w:sz="4"/>
              <w:left w:val="single" w:color="E0A030" w:sz="24"/>
              <w:bottom w:val="single" w:color="E0A030" w:sz="4"/>
              <w:right w:val="single" w:color="E0A030" w:sz="4"/>
            </w:tcBorders>
            <w:shd w:fill="FFF4E0" w:color="auto" w:val="clear"/>
            <w:tcMar>
              <w:top w:type="dxa" w:w="100"/>
              <w:left w:type="dxa" w:w="180"/>
              <w:bottom w:type="dxa" w:w="60"/>
              <w:right w:type="dxa" w:w="180"/>
            </w:tcMar>
          </w:tcPr>
          <w:p>
            <w:pPr>
              <w:spacing w:after="60"/>
            </w:pPr>
            <w:r>
              <w:rPr>
                <w:b/>
                <w:bCs/>
                <w:color w:val="E0A030"/>
              </w:rPr>
              <w:t xml:space="preserve">Achtung:  </w:t>
            </w:r>
            <w:r>
              <w:t xml:space="preserve">„overlooked“ allein wäre unzureichend; der Widerspruch zu früheren Befunden trägt die Lücke.</w:t>
            </w:r>
          </w:p>
        </w:tc>
      </w:tr>
    </w:tbl>
    <w:p>
      <w:pPr>
        <w:spacing w:after="80"/>
      </w:pPr>
    </w:p>
    <w:p>
      <w:pPr>
        <w:spacing w:after="120"/>
      </w:pPr>
      <w:r>
        <w:rPr>
          <w:b/>
          <w:bCs/>
        </w:rPr>
        <w:t xml:space="preserve">Ein zweiter Mechanismus neben einem bekannten</w:t>
      </w:r>
    </w:p>
    <w:p>
      <w:pPr>
        <w:pBdr>
          <w:left w:val="single" w:color="2E6DA4" w:sz="18" w:space="10"/>
        </w:pBdr>
        <w:shd w:fill="F5F7FA" w:color="auto" w:val="clear"/>
        <w:spacing w:after="40" w:before="120"/>
        <w:ind w:left="567" w:right="283"/>
      </w:pPr>
      <w:r>
        <w:rPr>
          <w:i/>
          <w:iCs/>
          <w:color w:val="333333"/>
        </w:rPr>
        <w:t xml:space="preserve">„While the literature (…) has clarified how founders 'individually' excel at innovating (…), the role of their abilities to make better 'organizational design choices' (…) that support ventures' capacity to produce innovation outputs remains underexplored.“</w:t>
      </w:r>
    </w:p>
    <w:p>
      <w:pPr>
        <w:spacing w:after="120"/>
        <w:ind w:left="567"/>
        <w:jc w:val="left"/>
      </w:pPr>
      <w:r>
        <w:rPr>
          <w:color w:val="5A6270"/>
          <w:sz w:val="18"/>
          <w:szCs w:val="18"/>
        </w:rPr>
        <w:t xml:space="preserve">— Brandenburg et al. (2026, ETP)</w:t>
      </w:r>
    </w:p>
    <w:p>
      <w:pPr>
        <w:spacing w:after="140"/>
      </w:pPr>
      <w:r>
        <w:rPr>
          <w:b/>
          <w:bCs/>
          <w:color w:val="2E6DA4"/>
        </w:rPr>
        <w:t xml:space="preserve">Technik: </w:t>
      </w:r>
      <w:r>
        <w:t xml:space="preserve">Ein untersuchter Mechanismus wird einem unerforschten, </w:t>
      </w:r>
      <w:r>
        <w:rPr>
          <w:b/>
          <w:bCs/>
        </w:rPr>
        <w:t xml:space="preserve">benannten</w:t>
      </w:r>
      <w:r>
        <w:t xml:space="preserve"> alternativen Pfad gegenübergestellt („venture-building path“). Die Benennung macht die Lücke konkret und einprägsam.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A030" w:sz="4"/>
              <w:left w:val="single" w:color="E0A030" w:sz="24"/>
              <w:bottom w:val="single" w:color="E0A030" w:sz="4"/>
              <w:right w:val="single" w:color="E0A030" w:sz="4"/>
            </w:tcBorders>
            <w:shd w:fill="FFF4E0" w:color="auto" w:val="clear"/>
            <w:tcMar>
              <w:top w:type="dxa" w:w="100"/>
              <w:left w:type="dxa" w:w="180"/>
              <w:bottom w:type="dxa" w:w="60"/>
              <w:right w:type="dxa" w:w="180"/>
            </w:tcMar>
          </w:tcPr>
          <w:p>
            <w:pPr>
              <w:spacing w:after="60"/>
            </w:pPr>
            <w:r>
              <w:rPr>
                <w:b/>
                <w:bCs/>
                <w:color w:val="E0A030"/>
              </w:rPr>
              <w:t xml:space="preserve">Achtung:  </w:t>
            </w:r>
            <w:r>
              <w:t xml:space="preserve">„remains underexplored“ muss durch die Begründung gestützt werden, warum der zweite Pfad theoretisch wichtig ist – das Paper liefert diese im nächsten Absatz.</w:t>
            </w:r>
          </w:p>
        </w:tc>
      </w:tr>
    </w:tbl>
    <w:p>
      <w:pPr>
        <w:spacing w:after="80"/>
      </w:pPr>
    </w:p>
    <w:p>
      <w:pPr>
        <w:spacing w:after="120"/>
      </w:pPr>
      <w:r>
        <w:rPr>
          <w:b/>
          <w:bCs/>
        </w:rPr>
        <w:t xml:space="preserve">Offene Frage mit divergierenden Sichtweisen</w:t>
      </w:r>
    </w:p>
    <w:p>
      <w:pPr>
        <w:pBdr>
          <w:left w:val="single" w:color="2E6DA4" w:sz="18" w:space="10"/>
        </w:pBdr>
        <w:shd w:fill="F5F7FA" w:color="auto" w:val="clear"/>
        <w:spacing w:after="40" w:before="120"/>
        <w:ind w:left="567" w:right="283"/>
      </w:pPr>
      <w:r>
        <w:rPr>
          <w:i/>
          <w:iCs/>
          <w:color w:val="333333"/>
        </w:rPr>
        <w:t xml:space="preserve">„Given the importance of the decision to allocate scarce resources to trademark applications, and given the divergent views about ventures' filing for trademarks, we ask (…)“</w:t>
      </w:r>
    </w:p>
    <w:p>
      <w:pPr>
        <w:spacing w:after="120"/>
        <w:ind w:left="567"/>
        <w:jc w:val="left"/>
      </w:pPr>
      <w:r>
        <w:rPr>
          <w:color w:val="5A6270"/>
          <w:sz w:val="18"/>
          <w:szCs w:val="18"/>
        </w:rPr>
        <w:t xml:space="preserve">— Rieger, Dreller &amp; Engelen (2024, JMR)</w:t>
      </w:r>
    </w:p>
    <w:p>
      <w:pPr>
        <w:spacing w:after="140"/>
      </w:pPr>
      <w:r>
        <w:rPr>
          <w:b/>
          <w:bCs/>
          <w:color w:val="2E6DA4"/>
        </w:rPr>
        <w:t xml:space="preserve">Technik: </w:t>
      </w:r>
      <w:r>
        <w:t xml:space="preserve">Die Spannung entsteht aus gegensätzlichen Positionen (Stealth Mode vs. frühe Kundenperspektive), jeweils mit einem realen Unternehmen illustriert (Instagram/Pinterest vs. WhatsApp).</w:t>
      </w:r>
    </w:p>
    <w:p>
      <w:pPr>
        <w:pStyle w:val="Heading2"/>
      </w:pPr>
      <w:r>
        <w:t xml:space="preserve">3.3  Warum ein Kontext Theorie verändert</w:t>
      </w:r>
    </w:p>
    <w:p>
      <w:pPr>
        <w:spacing w:after="120"/>
      </w:pPr>
      <w:r>
        <w:t xml:space="preserve">„Es wurde dort noch nicht untersucht“ ist keine Begründung für einen Kontext. Zu zeigen ist, dass der Kontext einen Mechanismus außer Kraft setzt, eine Annahme verändert, andere Informationsbedingungen oder Restriktionen schafft oder andere Zusammenhänge erwarten lässt.</w:t>
      </w:r>
    </w:p>
    <w:p>
      <w:pPr>
        <w:pStyle w:val="Heading3"/>
      </w:pPr>
      <w:r>
        <w:t xml:space="preserve">Modellantwort: zwei explizite Gründe</w:t>
      </w:r>
    </w:p>
    <w:p>
      <w:pPr>
        <w:pBdr>
          <w:left w:val="single" w:color="2E6DA4" w:sz="18" w:space="10"/>
        </w:pBdr>
        <w:shd w:fill="F5F7FA" w:color="auto" w:val="clear"/>
        <w:spacing w:after="40" w:before="120"/>
        <w:ind w:left="567" w:right="283"/>
      </w:pPr>
      <w:r>
        <w:rPr>
          <w:i/>
          <w:iCs/>
          <w:color w:val="333333"/>
        </w:rPr>
        <w:t xml:space="preserve">„We chose this specific setting for two reasons. First, simply transferring prior theorizing and insights from established firms is difficult. Tech-based ventures (…) must prioritize R&amp;D activities to satisfy their raison d'être (…). Therefore, the response of established firms to a crisis, such as reallocating resources away from R&amp;D activities, is not viable (…). Second, crisis ventures provide a less entrenched context for theoretically unpacking emerging R&amp;D management processes.“</w:t>
      </w:r>
    </w:p>
    <w:p>
      <w:pPr>
        <w:spacing w:after="120"/>
        <w:ind w:left="567"/>
        <w:jc w:val="left"/>
      </w:pPr>
      <w:r>
        <w:rPr>
          <w:color w:val="5A6270"/>
          <w:sz w:val="18"/>
          <w:szCs w:val="18"/>
        </w:rPr>
        <w:t xml:space="preserve">— Haeberle et al. (2026, JPIM)</w:t>
      </w:r>
    </w:p>
    <w:p>
      <w:pPr>
        <w:spacing w:after="140"/>
      </w:pPr>
      <w:r>
        <w:rPr>
          <w:b/>
          <w:bCs/>
          <w:color w:val="2E6DA4"/>
        </w:rPr>
        <w:t xml:space="preserve">Technik: </w:t>
      </w:r>
      <w:r>
        <w:t xml:space="preserve">Grund 1: Der Kontext </w:t>
      </w:r>
      <w:r>
        <w:rPr>
          <w:b/>
          <w:bCs/>
        </w:rPr>
        <w:t xml:space="preserve">setzt einen Mechanismus außer Kraft</w:t>
      </w:r>
      <w:r>
        <w:t xml:space="preserve">, der anderswo gilt (die Restriktion verändert den erwarteten Zusammenhang). Grund 2: Der Kontext </w:t>
      </w:r>
      <w:r>
        <w:rPr>
          <w:b/>
          <w:bCs/>
        </w:rPr>
        <w:t xml:space="preserve">macht einen Prozess beobachtbar</w:t>
      </w:r>
      <w:r>
        <w:t xml:space="preserve"> (keine verfestigten Routinen). Diese Struktur ist die Vorlage, wann immer ein Kontext begründet werden muss.</w:t>
      </w:r>
    </w:p>
    <w:p>
      <w:pPr>
        <w:pStyle w:val="Heading3"/>
      </w:pPr>
      <w:r>
        <w:t xml:space="preserve">Der Teamkontext verändert den Mechanismus</w:t>
      </w:r>
    </w:p>
    <w:p>
      <w:pPr>
        <w:pBdr>
          <w:left w:val="single" w:color="2E6DA4" w:sz="18" w:space="10"/>
        </w:pBdr>
        <w:shd w:fill="F5F7FA" w:color="auto" w:val="clear"/>
        <w:spacing w:after="40" w:before="120"/>
        <w:ind w:left="567" w:right="283"/>
      </w:pPr>
      <w:r>
        <w:rPr>
          <w:i/>
          <w:iCs/>
          <w:color w:val="333333"/>
        </w:rPr>
        <w:t xml:space="preserve">„Founding team members interact intensively daily, rely heavily on informal coordination and collaboration (…). This creates a setting in which the personality traits of all co-founders, especially those with substantial relational implications, such as narcissism (…), are likely to exert a pronounced influence (…).“</w:t>
      </w:r>
    </w:p>
    <w:p>
      <w:pPr>
        <w:spacing w:after="120"/>
        <w:ind w:left="567"/>
        <w:jc w:val="left"/>
      </w:pPr>
      <w:r>
        <w:rPr>
          <w:color w:val="5A6270"/>
          <w:sz w:val="18"/>
          <w:szCs w:val="18"/>
        </w:rPr>
        <w:t xml:space="preserve">— Lang et al. (2025, JBV)</w:t>
      </w:r>
    </w:p>
    <w:p>
      <w:pPr>
        <w:spacing w:after="140"/>
      </w:pPr>
      <w:r>
        <w:rPr>
          <w:b/>
          <w:bCs/>
          <w:color w:val="2E6DA4"/>
        </w:rPr>
        <w:t xml:space="preserve">Technik: </w:t>
      </w:r>
      <w:r>
        <w:t xml:space="preserve">Benannt wird das Merkmal des Kontexts (intensive Interaktion), das den Mechanismus verstärkt (relationale Folgen eines Persönlichkeitsmerkmals).</w:t>
      </w:r>
    </w:p>
    <w:p>
      <w:pPr>
        <w:pStyle w:val="Heading3"/>
      </w:pPr>
      <w:r>
        <w:t xml:space="preserve">Ressourcenknappheit verändert das Gestaltungsproblem</w:t>
      </w:r>
    </w:p>
    <w:p>
      <w:pPr>
        <w:pBdr>
          <w:left w:val="single" w:color="2E6DA4" w:sz="18" w:space="10"/>
        </w:pBdr>
        <w:shd w:fill="F5F7FA" w:color="auto" w:val="clear"/>
        <w:spacing w:after="40" w:before="120"/>
        <w:ind w:left="567" w:right="283"/>
      </w:pPr>
      <w:r>
        <w:rPr>
          <w:i/>
          <w:iCs/>
          <w:color w:val="333333"/>
        </w:rPr>
        <w:t xml:space="preserve">„(…) it is intuitive to assume that most ventures cannot afford to staff all levels with marketing expertise due to scarce resources, nor is there necessarily a need to do so.“</w:t>
      </w:r>
    </w:p>
    <w:p>
      <w:pPr>
        <w:spacing w:after="120"/>
        <w:ind w:left="567"/>
        <w:jc w:val="left"/>
      </w:pPr>
      <w:r>
        <w:rPr>
          <w:color w:val="5A6270"/>
          <w:sz w:val="18"/>
          <w:szCs w:val="18"/>
        </w:rPr>
        <w:t xml:space="preserve">— von Nitzsch et al. (2026, JAMS)</w:t>
      </w:r>
    </w:p>
    <w:p>
      <w:pPr>
        <w:spacing w:after="140"/>
      </w:pPr>
      <w:r>
        <w:rPr>
          <w:b/>
          <w:bCs/>
          <w:color w:val="2E6DA4"/>
        </w:rPr>
        <w:t xml:space="preserve">Technik: </w:t>
      </w:r>
      <w:r>
        <w:t xml:space="preserve">Der Kontext (Ressourcenrestriktionen, flexible Rollenverteilung) erzeugt genau die Heterogenität, die Konfigurationen theoretisch relevant macht.</w:t>
      </w:r>
    </w:p>
    <w:p>
      <w:pPr>
        <w:pStyle w:val="Heading2"/>
      </w:pPr>
      <w:r>
        <w:t xml:space="preserve">3.4  Warum es wichtig ist</w:t>
      </w:r>
    </w:p>
    <w:p>
      <w:pPr>
        <w:spacing w:after="120"/>
      </w:pPr>
      <w:r>
        <w:t xml:space="preserve">Die Relevanz muss </w:t>
      </w:r>
      <w:r>
        <w:rPr>
          <w:b/>
          <w:bCs/>
        </w:rPr>
        <w:t xml:space="preserve">sichtbar</w:t>
      </w:r>
      <w:r>
        <w:t xml:space="preserve"> sein und theoretisch begründet werden – idealerweise so, dass klar wird, was bestehende Theorie ohne die Lösung nicht erklären kann. Praktische Relevanz ergänzt, ersetzt aber nicht die wissenschaftliche.</w:t>
      </w:r>
    </w:p>
    <w:p>
      <w:pPr>
        <w:pStyle w:val="Heading3"/>
      </w:pPr>
      <w:r>
        <w:t xml:space="preserve">Signature Pattern: der Zwei-Perspektiven-Absatz</w:t>
      </w:r>
    </w:p>
    <w:p>
      <w:pPr>
        <w:spacing w:after="120"/>
      </w:pPr>
      <w:r>
        <w:t xml:space="preserve">Fünf der acht Exemplar-Paper verwenden ihn (Engelen et al. 2026, Osses et al. 2024, von Nitzsch et al. 2026, Brandenburg et al. 2026, Lang et al. 2025).</w:t>
      </w:r>
    </w:p>
    <w:p>
      <w:pPr>
        <w:pBdr>
          <w:left w:val="single" w:color="2E6DA4" w:sz="18" w:space="10"/>
        </w:pBdr>
        <w:shd w:fill="F5F7FA" w:color="auto" w:val="clear"/>
        <w:spacing w:after="40" w:before="120"/>
        <w:ind w:left="567" w:right="283"/>
      </w:pPr>
      <w:r>
        <w:rPr>
          <w:i/>
          <w:iCs/>
          <w:color w:val="333333"/>
        </w:rPr>
        <w:t xml:space="preserve">„Whether such differences in CVC investment rounds affect investing firms' innovation outcomes is of interest to both scholars and practitioners. From a scholarly perspective, CVC investments offer an arena in which resource dependency theory can be used to explain temporal variations in dependencies and information flows and to clarify when resource flows transform into desired strategic outcomes, which (…) describe as gaps in the broader literature on resource dependency theory.“</w:t>
      </w:r>
    </w:p>
    <w:p>
      <w:pPr>
        <w:spacing w:after="120"/>
        <w:ind w:left="567"/>
        <w:jc w:val="left"/>
      </w:pPr>
      <w:r>
        <w:rPr>
          <w:color w:val="5A6270"/>
          <w:sz w:val="18"/>
          <w:szCs w:val="18"/>
        </w:rPr>
        <w:t xml:space="preserve">— Engelen et al. (2026, JPIM)</w:t>
      </w:r>
    </w:p>
    <w:p>
      <w:pPr>
        <w:spacing w:after="140"/>
      </w:pPr>
      <w:r>
        <w:rPr>
          <w:b/>
          <w:bCs/>
          <w:color w:val="2E6DA4"/>
        </w:rPr>
        <w:t xml:space="preserve">Technik: </w:t>
      </w:r>
      <w:r>
        <w:t xml:space="preserve">Das wissenschaftliche Argument knüpft die Studie an eine </w:t>
      </w:r>
      <w:r>
        <w:rPr>
          <w:b/>
          <w:bCs/>
        </w:rPr>
        <w:t xml:space="preserve">Lücke in der Theorie selbst</w:t>
      </w:r>
      <w:r>
        <w:t xml:space="preserve"> (mit Verweis auf explizite Calls), nicht nur an das Phänomen. Das praktische Argument folgt und wird mit einer Zahl konkret gemacht (Folgerunden ≈ 13-mal so groß wie die erste Runde im Fall Ayar Labs).</w:t>
      </w:r>
    </w:p>
    <w:p>
      <w:pPr>
        <w:pStyle w:val="Heading3"/>
      </w:pPr>
      <w:r>
        <w:t xml:space="preserve">Relevanz aus der Natur des Konstrukts</w:t>
      </w:r>
    </w:p>
    <w:p>
      <w:pPr>
        <w:pBdr>
          <w:left w:val="single" w:color="2E6DA4" w:sz="18" w:space="10"/>
        </w:pBdr>
        <w:shd w:fill="F5F7FA" w:color="auto" w:val="clear"/>
        <w:spacing w:after="40" w:before="120"/>
        <w:ind w:left="567" w:right="283"/>
      </w:pPr>
      <w:r>
        <w:rPr>
          <w:i/>
          <w:iCs/>
          <w:color w:val="333333"/>
        </w:rPr>
        <w:t xml:space="preserve">„Theoretically, as narcissism's consequences are to a large degree relational (…), narcissism is particularly likely to exert its effects at the team level (…). Limiting the attention to solo founders while neglecting how narcissism plays out in founding teams is likely to deprive us of critical theoretical insights at the interface of narcissism and entrepreneurship research.“</w:t>
      </w:r>
    </w:p>
    <w:p>
      <w:pPr>
        <w:spacing w:after="120"/>
        <w:ind w:left="567"/>
        <w:jc w:val="left"/>
      </w:pPr>
      <w:r>
        <w:rPr>
          <w:color w:val="5A6270"/>
          <w:sz w:val="18"/>
          <w:szCs w:val="18"/>
        </w:rPr>
        <w:t xml:space="preserve">— Lang et al. (2025, JBV)</w:t>
      </w:r>
    </w:p>
    <w:p>
      <w:pPr>
        <w:spacing w:after="140"/>
      </w:pPr>
      <w:r>
        <w:rPr>
          <w:b/>
          <w:bCs/>
          <w:color w:val="2E6DA4"/>
        </w:rPr>
        <w:t xml:space="preserve">Technik: </w:t>
      </w:r>
      <w:r>
        <w:t xml:space="preserve">Die Relevanz folgt aus einer Eigenschaft des fokalen Konstrukts – deutlich stärker als „das ist ein relevantes Thema“.</w:t>
      </w:r>
    </w:p>
    <w:p>
      <w:pPr>
        <w:pStyle w:val="Heading3"/>
      </w:pPr>
      <w:r>
        <w:t xml:space="preserve">Relevanz als fehlender Mechanismus</w:t>
      </w:r>
    </w:p>
    <w:p>
      <w:pPr>
        <w:pBdr>
          <w:left w:val="single" w:color="2E6DA4" w:sz="18" w:space="10"/>
        </w:pBdr>
        <w:shd w:fill="F5F7FA" w:color="auto" w:val="clear"/>
        <w:spacing w:after="40" w:before="120"/>
        <w:ind w:left="567" w:right="283"/>
      </w:pPr>
      <w:r>
        <w:rPr>
          <w:i/>
          <w:iCs/>
          <w:color w:val="333333"/>
        </w:rPr>
        <w:t xml:space="preserve">„As a result of this gap, we lack a comprehensive theoretical understanding of the mechanisms by which founding experience influences a venture's innovation outcomes.“</w:t>
      </w:r>
    </w:p>
    <w:p>
      <w:pPr>
        <w:spacing w:after="120"/>
        <w:ind w:left="567"/>
        <w:jc w:val="left"/>
      </w:pPr>
      <w:r>
        <w:rPr>
          <w:color w:val="5A6270"/>
          <w:sz w:val="18"/>
          <w:szCs w:val="18"/>
        </w:rPr>
        <w:t xml:space="preserve">— Brandenburg et al. (2026, ETP)</w:t>
      </w:r>
    </w:p>
    <w:p>
      <w:pPr>
        <w:spacing w:after="140"/>
      </w:pPr>
      <w:r>
        <w:rPr>
          <w:b/>
          <w:bCs/>
          <w:color w:val="2E6DA4"/>
        </w:rPr>
        <w:t xml:space="preserve">Technik: </w:t>
      </w:r>
      <w:r>
        <w:t xml:space="preserve">Das entspricht fast wörtlich dem Relevanz-Selbsttest (Kapitel 6) „Without resolving this issue, existing theory cannot adequately explain ___.“</w:t>
      </w:r>
    </w:p>
    <w:p>
      <w:pPr>
        <w:pStyle w:val="Heading3"/>
      </w:pPr>
      <w:r>
        <w:t xml:space="preserve">Wissenschaftliche Calls plus praktisches Nachfolgeproblem</w:t>
      </w:r>
    </w:p>
    <w:p>
      <w:pPr>
        <w:pBdr>
          <w:left w:val="single" w:color="2E6DA4" w:sz="18" w:space="10"/>
        </w:pBdr>
        <w:shd w:fill="F5F7FA" w:color="auto" w:val="clear"/>
        <w:spacing w:after="40" w:before="120"/>
        <w:ind w:left="567" w:right="283"/>
      </w:pPr>
      <w:r>
        <w:rPr>
          <w:i/>
          <w:iCs/>
          <w:color w:val="333333"/>
        </w:rPr>
        <w:t xml:space="preserve">„From a scholarly perspective, having both founding and corporate experience, external founder CEOs offer a promising area in which to address calls in the upper echelons literature to study executives' experience in a more fine-grained and holistic manner (…).“</w:t>
      </w:r>
    </w:p>
    <w:p>
      <w:pPr>
        <w:spacing w:after="120"/>
        <w:ind w:left="567"/>
        <w:jc w:val="left"/>
      </w:pPr>
      <w:r>
        <w:rPr>
          <w:color w:val="5A6270"/>
          <w:sz w:val="18"/>
          <w:szCs w:val="18"/>
        </w:rPr>
        <w:t xml:space="preserve">— Osses et al. (2024, JPIM)</w:t>
      </w:r>
    </w:p>
    <w:p>
      <w:pPr>
        <w:pStyle w:val="Heading2"/>
      </w:pPr>
      <w:r>
        <w:t xml:space="preserve">3.5  Die Forschungsfrage</w:t>
      </w:r>
    </w:p>
    <w:p>
      <w:pPr>
        <w:spacing w:after="120"/>
      </w:pPr>
      <w:r>
        <w:t xml:space="preserve">Eine </w:t>
      </w:r>
      <w:r>
        <w:rPr>
          <w:b/>
          <w:bCs/>
        </w:rPr>
        <w:t xml:space="preserve">explizite</w:t>
      </w:r>
      <w:r>
        <w:t xml:space="preserve"> Forschungsfrage wird bevorzugt. Sie folgt natürlich aus Lücke und Relevanzargument und enthält </w:t>
      </w:r>
      <w:r>
        <w:rPr>
          <w:b/>
          <w:bCs/>
        </w:rPr>
        <w:t xml:space="preserve">nur Konstrukte, die vorher hinreichend motiviert wurden</w:t>
      </w:r>
      <w:r>
        <w:t xml:space="preserve">.</w:t>
      </w:r>
    </w:p>
    <w:p>
      <w:pPr>
        <w:spacing w:after="120"/>
      </w:pPr>
      <w:r>
        <w:t xml:space="preserve">Lehrstuhl-Paper beenden den Lücken-/Relevanzabsatz fast immer mit einer expliziten Frage, eingeleitet durch „Therefore, we ask:“ oder „Hence, we ask:“.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Paper</w:t>
            </w:r>
          </w:p>
        </w:tc>
        <w:tc>
          <w:tcPr>
            <w:tcW w:type="dxa" w:w="7338"/>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Forschungsfrage (wörtlich)</w:t>
            </w:r>
          </w:p>
        </w:tc>
      </w:tr>
      <w:tr>
        <w:tc>
          <w:tcPr>
            <w:tcW w:type="dxa" w:w="23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Haeberle et al. (2026)</w:t>
            </w:r>
          </w:p>
        </w:tc>
        <w:tc>
          <w:tcPr>
            <w:tcW w:type="dxa" w:w="73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Hence, we ask: Do the R&amp;D outputs of tech-based ventures founded during major economic crises differ from those of their peers founded during stable economic times?</w:t>
            </w:r>
          </w:p>
        </w:tc>
      </w:tr>
      <w:tr>
        <w:tc>
          <w:tcPr>
            <w:tcW w:type="dxa" w:w="23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Brandenburg et al. (2026)</w:t>
            </w:r>
          </w:p>
        </w:tc>
        <w:tc>
          <w:tcPr>
            <w:tcW w:type="dxa" w:w="73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Therefore, we ask: How does founders' founding experience influence ventures' innovation output through a venture-building path?</w:t>
            </w:r>
          </w:p>
        </w:tc>
      </w:tr>
      <w:tr>
        <w:tc>
          <w:tcPr>
            <w:tcW w:type="dxa" w:w="23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Lang et al. (2025)</w:t>
            </w:r>
          </w:p>
        </w:tc>
        <w:tc>
          <w:tcPr>
            <w:tcW w:type="dxa" w:w="73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Therefore, we ask: How do different configurations of narcissism within founding teams influence co-founder turnover and overall venture performance?</w:t>
            </w:r>
          </w:p>
        </w:tc>
      </w:tr>
      <w:tr>
        <w:tc>
          <w:tcPr>
            <w:tcW w:type="dxa" w:w="23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von Nitzsch et al. (2026)</w:t>
            </w:r>
          </w:p>
        </w:tc>
        <w:tc>
          <w:tcPr>
            <w:tcW w:type="dxa" w:w="73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Therefore, we ask the following question: Which configurations of marketing at various levels within the marketing structure of tech-based ventures (founders with marketing experience, a CMO, marketing management, and marketing employees) are associated with strong performance?</w:t>
            </w:r>
          </w:p>
        </w:tc>
      </w:tr>
      <w:tr>
        <w:tc>
          <w:tcPr>
            <w:tcW w:type="dxa" w:w="23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Osses et al. (2024)</w:t>
            </w:r>
          </w:p>
        </w:tc>
        <w:tc>
          <w:tcPr>
            <w:tcW w:type="dxa" w:w="73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Zweiteilige Frage: ein Hauptvergleich plus eine Nuancierungsfrage („Do the nature and success of external founder CEOs' founding experiences affect…?“)</w:t>
            </w:r>
          </w:p>
        </w:tc>
      </w:tr>
    </w:tbl>
    <w:p>
      <w:pPr>
        <w:spacing w:after="120"/>
      </w:pPr>
    </w:p>
    <w:p>
      <w:pPr>
        <w:spacing w:after="140"/>
      </w:pPr>
      <w:r>
        <w:rPr>
          <w:b/>
          <w:bCs/>
          <w:color w:val="2E6DA4"/>
        </w:rPr>
        <w:t xml:space="preserve">Technik: </w:t>
      </w:r>
      <w:r>
        <w:t xml:space="preserve">Die Forschungsfrage verwendet </w:t>
      </w:r>
      <w:r>
        <w:rPr>
          <w:b/>
          <w:bCs/>
        </w:rPr>
        <w:t xml:space="preserve">exakt das Vokabular</w:t>
      </w:r>
      <w:r>
        <w:t xml:space="preserve">, das im Lückenabsatz etabliert wurde (etwa Brandenburg et al.: „venture-building path“; von Nitzsch et al.: die vier Ebenen). Kein Konstrukt taucht in der Frage auf, das nicht vorher motiviert wurde. Konfigurationale Studien formulieren „Which configurations…“, Mechanismus-Studien „How does X influence Y through Z“.</w:t>
      </w:r>
    </w:p>
    <w:p>
      <w:pPr>
        <w:pStyle w:val="Heading2"/>
      </w:pPr>
      <w:r>
        <w:t xml:space="preserve">3.6  Zentrales Argument und Forschungsmodell</w:t>
      </w:r>
    </w:p>
    <w:p>
      <w:pPr>
        <w:spacing w:after="120"/>
      </w:pPr>
      <w:r>
        <w:t xml:space="preserve">Die Introduction braucht ein klar identifizierbares </w:t>
      </w:r>
      <w:r>
        <w:rPr>
          <w:b/>
          <w:bCs/>
        </w:rPr>
        <w:t xml:space="preserve">zentrales theoretisches Argument</w:t>
      </w:r>
      <w:r>
        <w:t xml:space="preserve">, idealerweise explizit signalisiert: „we argue that…“, „drawing on X theory, we develop the argument that…“ oder gleichwertig. Das Argument muss die Forschungsfrage beantworten und genug Raum bekommen, um die Kernlogik zu entfalten.</w:t>
      </w:r>
    </w:p>
    <w:p>
      <w:pPr>
        <w:pStyle w:val="Heading3"/>
      </w:pPr>
      <w:r>
        <w:t xml:space="preserve">Explizites Label „central argument“</w:t>
      </w:r>
    </w:p>
    <w:p>
      <w:pPr>
        <w:pBdr>
          <w:left w:val="single" w:color="2E6DA4" w:sz="18" w:space="10"/>
        </w:pBdr>
        <w:shd w:fill="F5F7FA" w:color="auto" w:val="clear"/>
        <w:spacing w:after="40" w:before="120"/>
        <w:ind w:left="567" w:right="283"/>
      </w:pPr>
      <w:r>
        <w:rPr>
          <w:i/>
          <w:iCs/>
          <w:color w:val="333333"/>
        </w:rPr>
        <w:t xml:space="preserve">„Our central argument is that founders' founding experience helps them recognize the importance of knowledge management as a strategic resource for tech-based ventures (…) and equips them with skills to effectively structure the venture as an 'institution for integrating knowledge' (…).“</w:t>
      </w:r>
    </w:p>
    <w:p>
      <w:pPr>
        <w:spacing w:after="120"/>
        <w:ind w:left="567"/>
        <w:jc w:val="left"/>
      </w:pPr>
      <w:r>
        <w:rPr>
          <w:color w:val="5A6270"/>
          <w:sz w:val="18"/>
          <w:szCs w:val="18"/>
        </w:rPr>
        <w:t xml:space="preserve">— Brandenburg et al. (2026, ETP)</w:t>
      </w:r>
    </w:p>
    <w:p>
      <w:pPr>
        <w:pStyle w:val="Heading3"/>
      </w:pPr>
      <w:r>
        <w:t xml:space="preserve">Zentrales Argument plus Fit/Misfit-Logik</w:t>
      </w:r>
    </w:p>
    <w:p>
      <w:pPr>
        <w:pBdr>
          <w:left w:val="single" w:color="2E6DA4" w:sz="18" w:space="10"/>
        </w:pBdr>
        <w:shd w:fill="F5F7FA" w:color="auto" w:val="clear"/>
        <w:spacing w:after="40" w:before="120"/>
        <w:ind w:left="567" w:right="283"/>
      </w:pPr>
      <w:r>
        <w:rPr>
          <w:i/>
          <w:iCs/>
          <w:color w:val="333333"/>
        </w:rPr>
        <w:t xml:space="preserve">„(…) our central argument is that high mean levels of narcissism create low congruence among team members in values important for teamwork (…). At the same time, we propose that for a given level of narcissism, greater narcissism diversity within the team (…) can create a certain level of need-supply fit (…) and thereby reduce co-founder turnover.“</w:t>
      </w:r>
    </w:p>
    <w:p>
      <w:pPr>
        <w:spacing w:after="120"/>
        <w:ind w:left="567"/>
        <w:jc w:val="left"/>
      </w:pPr>
      <w:r>
        <w:rPr>
          <w:color w:val="5A6270"/>
          <w:sz w:val="18"/>
          <w:szCs w:val="18"/>
        </w:rPr>
        <w:t xml:space="preserve">— Lang et al. (2025, JBV)</w:t>
      </w:r>
    </w:p>
    <w:p>
      <w:pPr>
        <w:pStyle w:val="Heading3"/>
      </w:pPr>
      <w:r>
        <w:t xml:space="preserve">Von der Theorie zum Modell zur Passungslogik</w:t>
      </w:r>
    </w:p>
    <w:p>
      <w:pPr>
        <w:pBdr>
          <w:left w:val="single" w:color="2E6DA4" w:sz="18" w:space="10"/>
        </w:pBdr>
        <w:shd w:fill="F5F7FA" w:color="auto" w:val="clear"/>
        <w:spacing w:after="40" w:before="120"/>
        <w:ind w:left="567" w:right="283"/>
      </w:pPr>
      <w:r>
        <w:rPr>
          <w:i/>
          <w:iCs/>
          <w:color w:val="333333"/>
        </w:rPr>
        <w:t xml:space="preserve">„We develop a research model that theorizes that differentiating between first and follow-on CVC investments and distinguishing the kinds of information they provide is necessary (…). We expect that the match between the information a CVC investment round provides and the information that the firm requires for a particular type of innovation will explain variations in how CVC translates into these innovation outcomes.“</w:t>
      </w:r>
    </w:p>
    <w:p>
      <w:pPr>
        <w:spacing w:after="120"/>
        <w:ind w:left="567"/>
        <w:jc w:val="left"/>
      </w:pPr>
      <w:r>
        <w:rPr>
          <w:color w:val="5A6270"/>
          <w:sz w:val="18"/>
          <w:szCs w:val="18"/>
        </w:rPr>
        <w:t xml:space="preserve">— Engelen et al. (2026, JPIM)</w:t>
      </w:r>
    </w:p>
    <w:p>
      <w:pPr>
        <w:spacing w:after="140"/>
      </w:pPr>
      <w:r>
        <w:rPr>
          <w:b/>
          <w:bCs/>
          <w:color w:val="2E6DA4"/>
        </w:rPr>
        <w:t xml:space="preserve">Technik: </w:t>
      </w:r>
      <w:r>
        <w:t xml:space="preserve">Das vereinheitlichende Prinzip („match between information provided and information required“) steht </w:t>
      </w:r>
      <w:r>
        <w:rPr>
          <w:b/>
          <w:bCs/>
        </w:rPr>
        <w:t xml:space="preserve">vor</w:t>
      </w:r>
      <w:r>
        <w:t xml:space="preserve"> den spezifischen Erwartungen. Moderatoren werden als „further nuance to our temporal perspective“ eingeführt – sie erweitern die Kernlogik, statt unverbunden daneben zu stehen.</w:t>
      </w:r>
    </w:p>
    <w:p>
      <w:pPr>
        <w:pStyle w:val="Heading3"/>
      </w:pPr>
      <w:r>
        <w:t xml:space="preserve">Moderator aus einer zweiten Theorie abgeleitet</w:t>
      </w:r>
    </w:p>
    <w:p>
      <w:pPr>
        <w:pBdr>
          <w:left w:val="single" w:color="2E6DA4" w:sz="18" w:space="10"/>
        </w:pBdr>
        <w:shd w:fill="F5F7FA" w:color="auto" w:val="clear"/>
        <w:spacing w:after="40" w:before="120"/>
        <w:ind w:left="567" w:right="283"/>
      </w:pPr>
      <w:r>
        <w:rPr>
          <w:i/>
          <w:iCs/>
          <w:color w:val="333333"/>
        </w:rPr>
        <w:t xml:space="preserve">„In line with the behavioral theory of the firm (…), (…) strong firm performance increases persistence in a firm's behaviors (…), while weak firm performance increases its openness to new approaches (…). (…) we theorize that the resources a pre-shock strategic emphasis on innovation provides are particularly effective in creating organizational resilience when pre-shock firm profitability is not strong.“</w:t>
      </w:r>
    </w:p>
    <w:p>
      <w:pPr>
        <w:spacing w:after="120"/>
        <w:ind w:left="567"/>
        <w:jc w:val="left"/>
      </w:pPr>
      <w:r>
        <w:rPr>
          <w:color w:val="5A6270"/>
          <w:sz w:val="18"/>
          <w:szCs w:val="18"/>
        </w:rPr>
        <w:t xml:space="preserve">— Engelen et al. (2023, JPIM)</w:t>
      </w:r>
    </w:p>
    <w:p>
      <w:pPr>
        <w:pStyle w:val="Heading3"/>
      </w:pPr>
      <w:r>
        <w:t xml:space="preserve">Moderatoren folgen aus Eigenschaften der Theorie</w:t>
      </w:r>
    </w:p>
    <w:p>
      <w:pPr>
        <w:pBdr>
          <w:left w:val="single" w:color="2E6DA4" w:sz="18" w:space="10"/>
        </w:pBdr>
        <w:shd w:fill="F5F7FA" w:color="auto" w:val="clear"/>
        <w:spacing w:after="40" w:before="120"/>
        <w:ind w:left="567" w:right="283"/>
      </w:pPr>
      <w:r>
        <w:rPr>
          <w:i/>
          <w:iCs/>
          <w:color w:val="333333"/>
        </w:rPr>
        <w:t xml:space="preserve">„Accommodating the notions that legitimacy considerations are context-dependent (…) and that venture capitalists evaluate ventures holistically (…), we expect that venture capitalists do not evaluate the information cue from trademark applications in isolation.“</w:t>
      </w:r>
    </w:p>
    <w:p>
      <w:pPr>
        <w:spacing w:after="120"/>
        <w:ind w:left="567"/>
        <w:jc w:val="left"/>
      </w:pPr>
      <w:r>
        <w:rPr>
          <w:color w:val="5A6270"/>
          <w:sz w:val="18"/>
          <w:szCs w:val="18"/>
        </w:rPr>
        <w:t xml:space="preserve">— Rieger, Dreller &amp; Engelen (2024, JMR)</w:t>
      </w:r>
    </w:p>
    <w:p>
      <w:pPr>
        <w:spacing w:after="140"/>
      </w:pPr>
      <w:r>
        <w:rPr>
          <w:b/>
          <w:bCs/>
          <w:color w:val="2E6DA4"/>
        </w:rPr>
        <w:t xml:space="preserve">Technik: </w:t>
      </w:r>
      <w:r>
        <w:t xml:space="preserve">Moderatoren werden aus Kernannahmen der Theorie selbst begründet, nicht ad hoc ergänzt.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4E9A5B" w:sz="4"/>
              <w:left w:val="single" w:color="4E9A5B" w:sz="24"/>
              <w:bottom w:val="single" w:color="4E9A5B" w:sz="4"/>
              <w:right w:val="single" w:color="4E9A5B" w:sz="4"/>
            </w:tcBorders>
            <w:shd w:fill="EAF5EC" w:color="auto" w:val="clear"/>
            <w:tcMar>
              <w:top w:type="dxa" w:w="100"/>
              <w:left w:type="dxa" w:w="180"/>
              <w:bottom w:type="dxa" w:w="60"/>
              <w:right w:type="dxa" w:w="180"/>
            </w:tcMar>
          </w:tcPr>
          <w:p>
            <w:pPr>
              <w:spacing w:after="60"/>
            </w:pPr>
            <w:r>
              <w:rPr>
                <w:b/>
                <w:bCs/>
                <w:color w:val="4E9A5B"/>
              </w:rPr>
              <w:t xml:space="preserve">Signalwörter:  </w:t>
            </w:r>
            <w:r>
              <w:t xml:space="preserve">Typische Formulierungen im Lehrstuhl: „Our central argument is that…“, „We argue that…“, „we theorize that…“, „we expect that…“, „we contend that…“. Das zentrale Argument steht meist im Absatz direkt nach der Forschungsfrage und beginnt mit „To address this research question, we draw on [theory]…“.</w:t>
            </w:r>
          </w:p>
        </w:tc>
      </w:tr>
    </w:tbl>
    <w:p>
      <w:pPr>
        <w:spacing w:after="80"/>
      </w:pPr>
    </w:p>
    <w:p>
      <w:pPr>
        <w:pStyle w:val="Heading2"/>
      </w:pPr>
      <w:r>
        <w:t xml:space="preserve">3.7  Konfigurationale Studien (fsQCA/csQCA)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A030" w:sz="4"/>
              <w:left w:val="single" w:color="E0A030" w:sz="24"/>
              <w:bottom w:val="single" w:color="E0A030" w:sz="4"/>
              <w:right w:val="single" w:color="E0A030" w:sz="4"/>
            </w:tcBorders>
            <w:shd w:fill="FFF4E0" w:color="auto" w:val="clear"/>
            <w:tcMar>
              <w:top w:type="dxa" w:w="100"/>
              <w:left w:type="dxa" w:w="180"/>
              <w:bottom w:type="dxa" w:w="60"/>
              <w:right w:type="dxa" w:w="180"/>
            </w:tcMar>
          </w:tcPr>
          <w:p>
            <w:pPr>
              <w:spacing w:after="60"/>
            </w:pPr>
            <w:r>
              <w:rPr>
                <w:b/>
                <w:bCs/>
                <w:color w:val="E0A030"/>
              </w:rPr>
              <w:t xml:space="preserve">Achtung:  </w:t>
            </w:r>
            <w:r>
              <w:t xml:space="preserve">„Wir verwenden fsQCA/csQCA, weil die Fälle heterogen sind“ ist </w:t>
            </w:r>
            <w:r>
              <w:rPr>
                <w:b/>
                <w:bCs/>
              </w:rPr>
              <w:t xml:space="preserve">keine</w:t>
            </w:r>
            <w:r>
              <w:t xml:space="preserve"> ausreichende theoretische Begründung.</w:t>
            </w:r>
          </w:p>
        </w:tc>
      </w:tr>
    </w:tbl>
    <w:p>
      <w:pPr>
        <w:spacing w:after="80"/>
      </w:pPr>
    </w:p>
    <w:p>
      <w:pPr>
        <w:spacing w:after="120"/>
      </w:pPr>
      <w:r>
        <w:t xml:space="preserve">Verlangt wird eine theoretische Begründung, die zeigt, warum</w:t>
      </w:r>
    </w:p>
    <w:p>
      <w:pPr>
        <w:pStyle w:val="ListParagraph"/>
        <w:numPr>
          <w:ilvl w:val="0"/>
          <w:numId w:val="2"/>
        </w:numPr>
        <w:spacing w:after="60"/>
      </w:pPr>
      <w:r>
        <w:t xml:space="preserve">die Bedeutung bzw. der Effekt einer Bedingung </w:t>
      </w:r>
      <w:r>
        <w:rPr>
          <w:b/>
          <w:bCs/>
        </w:rPr>
        <w:t xml:space="preserve">von anderen Bedingungen abhängt</w:t>
      </w:r>
      <w:r>
        <w:t xml:space="preserve">;</w:t>
      </w:r>
    </w:p>
    <w:p>
      <w:pPr>
        <w:pStyle w:val="ListParagraph"/>
        <w:numPr>
          <w:ilvl w:val="0"/>
          <w:numId w:val="2"/>
        </w:numPr>
        <w:spacing w:after="60"/>
      </w:pPr>
      <w:r>
        <w:t xml:space="preserve">Nettoeffekte </w:t>
      </w:r>
      <w:r>
        <w:rPr>
          <w:b/>
          <w:bCs/>
        </w:rPr>
        <w:t xml:space="preserve">unvollständig oder irreführend</w:t>
      </w:r>
      <w:r>
        <w:t xml:space="preserve"> sein können; und/oder</w:t>
      </w:r>
    </w:p>
    <w:p>
      <w:pPr>
        <w:pStyle w:val="ListParagraph"/>
        <w:numPr>
          <w:ilvl w:val="0"/>
          <w:numId w:val="2"/>
        </w:numPr>
        <w:spacing w:after="60"/>
      </w:pPr>
      <w:r>
        <w:t xml:space="preserve">unterschiedliche Kombinationen über </w:t>
      </w:r>
      <w:r>
        <w:rPr>
          <w:b/>
          <w:bCs/>
        </w:rPr>
        <w:t xml:space="preserve">verschiedene theoretische Logiken</w:t>
      </w:r>
      <w:r>
        <w:t xml:space="preserve"> zu ähnlichen Ergebnissen führen können (Äquifinalität).</w:t>
      </w:r>
    </w:p>
    <w:p>
      <w:pPr>
        <w:pStyle w:val="Heading3"/>
      </w:pPr>
      <w:r>
        <w:t xml:space="preserve">Warum der Mittelwert allein irreführt</w:t>
      </w:r>
    </w:p>
    <w:p>
      <w:pPr>
        <w:pBdr>
          <w:left w:val="single" w:color="2E6DA4" w:sz="18" w:space="10"/>
        </w:pBdr>
        <w:shd w:fill="F5F7FA" w:color="auto" w:val="clear"/>
        <w:spacing w:after="40" w:before="120"/>
        <w:ind w:left="567" w:right="283"/>
      </w:pPr>
      <w:r>
        <w:rPr>
          <w:i/>
          <w:iCs/>
          <w:color w:val="333333"/>
        </w:rPr>
        <w:t xml:space="preserve">„When examining narcissism at the founding team level, the mean level of narcissism offers a meaningful first step (…). However, because a given mean can emerge in different ways, the distribution (here: diversity) of narcissism across members is also crucial to consider. For instance, a relatively high mean level of narcissism may result from all co-founders scoring similarly high on narcissism (…) or from one exceptionally narcissistic founder paired with co-founders who are low to moderate in narcissism (…).“</w:t>
      </w:r>
    </w:p>
    <w:p>
      <w:pPr>
        <w:spacing w:after="120"/>
        <w:ind w:left="567"/>
        <w:jc w:val="left"/>
      </w:pPr>
      <w:r>
        <w:rPr>
          <w:color w:val="5A6270"/>
          <w:sz w:val="18"/>
          <w:szCs w:val="18"/>
        </w:rPr>
        <w:t xml:space="preserve">— Lang et al. (2025, JBV)</w:t>
      </w:r>
    </w:p>
    <w:p>
      <w:pPr>
        <w:spacing w:after="140"/>
      </w:pPr>
      <w:r>
        <w:rPr>
          <w:b/>
          <w:bCs/>
          <w:color w:val="2E6DA4"/>
        </w:rPr>
        <w:t xml:space="preserve">Technik: </w:t>
      </w:r>
      <w:r>
        <w:t xml:space="preserve">Ein sauberer theoretischer Grund, warum ein Netto- bzw. Mittelwerteffekt unvollständig ist: gleiche Mittelwerte, unterschiedliche zugrunde liegende Konfigurationen, unterschiedliche Fit-Logiken. Genau diese Begründung verlangt der Standard.</w:t>
      </w:r>
    </w:p>
    <w:p>
      <w:pPr>
        <w:pStyle w:val="Heading3"/>
      </w:pPr>
      <w:r>
        <w:t xml:space="preserve">Unifinalität vs. Äquifinalität – von „welche“ zu „wie“</w:t>
      </w:r>
    </w:p>
    <w:p>
      <w:pPr>
        <w:pBdr>
          <w:left w:val="single" w:color="2E6DA4" w:sz="18" w:space="10"/>
        </w:pBdr>
        <w:shd w:fill="F5F7FA" w:color="auto" w:val="clear"/>
        <w:spacing w:after="40" w:before="120"/>
        <w:ind w:left="567" w:right="283"/>
      </w:pPr>
      <w:r>
        <w:rPr>
          <w:i/>
          <w:iCs/>
          <w:color w:val="333333"/>
        </w:rPr>
        <w:t xml:space="preserve">„While existing research has examined associations with unifinality by studying 'average net effects' of, for example, CMO presence, we extend this perspective by focusing on complex configurations that imply equifinality. Hence, we shift the discussion from which marketing resources are needed to how they should be configured.“</w:t>
      </w:r>
    </w:p>
    <w:p>
      <w:pPr>
        <w:spacing w:after="120"/>
        <w:ind w:left="567"/>
        <w:jc w:val="left"/>
      </w:pPr>
      <w:r>
        <w:rPr>
          <w:color w:val="5A6270"/>
          <w:sz w:val="18"/>
          <w:szCs w:val="18"/>
        </w:rPr>
        <w:t xml:space="preserve">— von Nitzsch et al. (2026, JAMS)</w:t>
      </w:r>
    </w:p>
    <w:p>
      <w:pPr>
        <w:spacing w:after="140"/>
      </w:pPr>
      <w:r>
        <w:rPr>
          <w:b/>
          <w:bCs/>
          <w:color w:val="2E6DA4"/>
        </w:rPr>
        <w:t xml:space="preserve">Technik: </w:t>
      </w:r>
      <w:r>
        <w:t xml:space="preserve">Die Grenze der Nettoeffekt-Forschung wird explizit benannt und die Frage neu gerahmt. Kombiniert mit dem empirischen Rätsel (erfolgreiche Ventures ohne Marketing-Gründer oder CMO) und der Ressourcenknappheit folgt die Wahl von fsQCA aus Theorie und Kontext – nicht aus „heterogenen Fällen“. Das abduktive Vorgehen wird offen benannt („the challenge of a priori theorizing about 'high performing configurations'“).</w:t>
      </w:r>
    </w:p>
    <w:p>
      <w:pPr>
        <w:pStyle w:val="Heading2"/>
      </w:pPr>
      <w:r>
        <w:t xml:space="preserve">3.8  Empirische Vorschau</w:t>
      </w:r>
    </w:p>
    <w:p>
      <w:pPr>
        <w:spacing w:after="120"/>
      </w:pPr>
      <w:r>
        <w:t xml:space="preserve">Empirische Details bleiben </w:t>
      </w:r>
      <w:r>
        <w:rPr>
          <w:b/>
          <w:bCs/>
        </w:rPr>
        <w:t xml:space="preserve">kurz</w:t>
      </w:r>
      <w:r>
        <w:t xml:space="preserve">. Lehrstuhl-Norm: ein kurzer Absatz mit 3–5 Sätzen – Stichprobe (N, Zeitraum, Kontext), Datenquellen, Kernmethode und ggf. ergänzende Interviews. Keine Ergebnistabellen, keine methodischen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Paper</w:t>
            </w:r>
          </w:p>
        </w:tc>
        <w:tc>
          <w:tcPr>
            <w:tcW w:type="dxa" w:w="7338"/>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So knapp geht es</w:t>
            </w:r>
          </w:p>
        </w:tc>
      </w:tr>
      <w:tr>
        <w:tc>
          <w:tcPr>
            <w:tcW w:type="dxa" w:w="23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Engelen et al. (2026)</w:t>
            </w:r>
          </w:p>
        </w:tc>
        <w:tc>
          <w:tcPr>
            <w:tcW w:type="dxa" w:w="73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Longitudinales Panel; „708 corporations between 2005 and 2019 (…) 2498 first CVC investments and 1594 follow-on CVC investments“; 27 Interviews zu Unterschieden, über die die Literatur wenig sagt.</w:t>
            </w:r>
          </w:p>
        </w:tc>
      </w:tr>
      <w:tr>
        <w:tc>
          <w:tcPr>
            <w:tcW w:type="dxa" w:w="23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Brandenburg et al. (2026)</w:t>
            </w:r>
          </w:p>
        </w:tc>
        <w:tc>
          <w:tcPr>
            <w:tcW w:type="dxa" w:w="73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Ein einziger Satz: „a unique 10-year longitudinal dataset of 1,560 U.S.-based tech-based ventures founded in 2010, which was enhanced by machine-learning classification of LinkedIn data on more than 200,000 individuals and patent records.“</w:t>
            </w:r>
          </w:p>
        </w:tc>
      </w:tr>
      <w:tr>
        <w:tc>
          <w:tcPr>
            <w:tcW w:type="dxa" w:w="23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Haeberle et al. (2026)</w:t>
            </w:r>
          </w:p>
        </w:tc>
        <w:tc>
          <w:tcPr>
            <w:tcW w:type="dxa" w:w="73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„a sample of ventures founded during the Global Financial Crisis (GFC) and a matched, otherwise close-to-identical, control sample of ventures founded several years after the GFC.“ Die Designlogik (gematchter Vergleich) ist in einem Nebensatz sichtbar.</w:t>
            </w:r>
          </w:p>
        </w:tc>
      </w:tr>
      <w:tr>
        <w:tc>
          <w:tcPr>
            <w:tcW w:type="dxa" w:w="23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Rieger et al. (2024)</w:t>
            </w:r>
          </w:p>
        </w:tc>
        <w:tc>
          <w:tcPr>
            <w:tcW w:type="dxa" w:w="73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b/>
                <w:bCs/>
                <w:sz w:val="20"/>
                <w:szCs w:val="20"/>
              </w:rPr>
              <w:t xml:space="preserve">Obergrenze:</w:t>
            </w:r>
            <w:r>
              <w:rPr>
                <w:sz w:val="20"/>
                <w:szCs w:val="20"/>
              </w:rPr>
              <w:t xml:space="preserve"> nennt Schätzer (extended Cox, Aalen), Datenquellen und Endogenitätsstrategie (2SRI) in einem Absatz. Für JMR angemessen – alles Längere gehört in den Methodenteil.</w:t>
            </w:r>
          </w:p>
        </w:tc>
      </w:tr>
      <w:tr>
        <w:tc>
          <w:tcPr>
            <w:tcW w:type="dxa" w:w="23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von Nitzsch et al. (2026)</w:t>
            </w:r>
          </w:p>
        </w:tc>
        <w:tc>
          <w:tcPr>
            <w:tcW w:type="dxa" w:w="73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Begründet das Mixed-Methods-Design (fsQCA + Regression + Interviews) schon in der Introduction, weil die Methode Teil des Beitrags ist.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A030" w:sz="4"/>
              <w:left w:val="single" w:color="E0A030" w:sz="24"/>
              <w:bottom w:val="single" w:color="E0A030" w:sz="4"/>
              <w:right w:val="single" w:color="E0A030" w:sz="4"/>
            </w:tcBorders>
            <w:shd w:fill="FFF4E0" w:color="auto" w:val="clear"/>
            <w:tcMar>
              <w:top w:type="dxa" w:w="100"/>
              <w:left w:type="dxa" w:w="180"/>
              <w:bottom w:type="dxa" w:w="60"/>
              <w:right w:type="dxa" w:w="180"/>
            </w:tcMar>
          </w:tcPr>
          <w:p>
            <w:pPr>
              <w:spacing w:after="60"/>
            </w:pPr>
            <w:r>
              <w:rPr>
                <w:b/>
                <w:bCs/>
                <w:color w:val="E0A030"/>
              </w:rPr>
              <w:t xml:space="preserve">Achtung:  </w:t>
            </w:r>
            <w:r>
              <w:t xml:space="preserve">von Nitzsch et al. verwenden für die Methode „the first in the marketing literature“. Ein First-Claim ist nur als nachgeordnete methodische Anmerkung akzeptabel – niemals als theoretische Lücke.</w:t>
            </w:r>
          </w:p>
        </w:tc>
      </w:tr>
    </w:tbl>
    <w:p>
      <w:pPr>
        <w:spacing w:after="80"/>
      </w:pPr>
    </w:p>
    <w:p>
      <w:pPr>
        <w:spacing w:after="120"/>
      </w:pPr>
      <w:r>
        <w:rPr>
          <w:b/>
          <w:bCs/>
        </w:rPr>
        <w:t xml:space="preserve">Interviews</w:t>
      </w:r>
      <w:r>
        <w:t xml:space="preserve"> werden durchgängig als Ergänzung, nicht als Ersatz der deduktiven Theoriebildung gerahmt. Rieger et al. (2024) formulieren das in einer Fußnote:</w:t>
      </w:r>
    </w:p>
    <w:p>
      <w:pPr>
        <w:pBdr>
          <w:left w:val="single" w:color="2E6DA4" w:sz="18" w:space="10"/>
        </w:pBdr>
        <w:shd w:fill="F5F7FA" w:color="auto" w:val="clear"/>
        <w:spacing w:after="40" w:before="120"/>
        <w:ind w:left="567" w:right="283"/>
      </w:pPr>
      <w:r>
        <w:rPr>
          <w:i/>
          <w:iCs/>
          <w:color w:val="333333"/>
        </w:rPr>
        <w:t xml:space="preserve">„It is not our intention to offer a full-fledged inductive study; rather, the main purpose of the qualitative evidence is to refine and inform our theory- and literature-driven arguments.“</w:t>
      </w:r>
    </w:p>
    <w:p>
      <w:pPr>
        <w:spacing w:after="120"/>
        <w:ind w:left="567"/>
        <w:jc w:val="left"/>
      </w:pPr>
      <w:r>
        <w:rPr>
          <w:color w:val="5A6270"/>
          <w:sz w:val="18"/>
          <w:szCs w:val="18"/>
        </w:rPr>
        <w:t xml:space="preserve">— Rieger, Dreller &amp; Engelen (2024, JMR)</w:t>
      </w:r>
    </w:p>
    <w:p>
      <w:pPr>
        <w:pStyle w:val="Heading2"/>
      </w:pPr>
      <w:r>
        <w:t xml:space="preserve">3.9  Die Beiträge</w:t>
      </w:r>
    </w:p>
    <w:p>
      <w:pPr>
        <w:spacing w:after="120"/>
      </w:pPr>
      <w:r>
        <w:rPr>
          <w:b/>
          <w:bCs/>
        </w:rPr>
        <w:t xml:space="preserve">Drei theoretische Beiträge sind der Standard</w:t>
      </w:r>
      <w:r>
        <w:t xml:space="preserve"> – aber ein dritter Beitrag wird nicht künstlich erzeugt, wenn das Paper ihn inhaltlich nicht trägt. Haeberle et al. (2026) und von Nitzsch et al. (2026) kommen mit zwei Beiträgen aus.</w:t>
      </w:r>
    </w:p>
    <w:p>
      <w:pPr>
        <w:pStyle w:val="Heading3"/>
      </w:pPr>
      <w:r>
        <w:t xml:space="preserve">Die bevorzugte Logik</w:t>
      </w:r>
    </w:p>
    <w:p>
      <w:pPr>
        <w:shd w:fill="EEF3F8" w:color="auto" w:val="clear"/>
        <w:spacing w:after="200" w:before="120"/>
        <w:jc w:val="center"/>
      </w:pPr>
      <w:r>
        <w:rPr>
          <w:b/>
          <w:bCs/>
          <w:color w:val="1F3A5F"/>
          <w:sz w:val="24"/>
          <w:szCs w:val="24"/>
        </w:rPr>
        <w:t xml:space="preserve">Vorliteratur  →  Limitierung / Grenze  →  unsere Studie  →  theoretischer Ertrag</w:t>
      </w:r>
    </w:p>
    <w:p>
      <w:pPr>
        <w:pStyle w:val="Heading3"/>
      </w:pPr>
      <w:r>
        <w:t xml:space="preserve">Fünf Fragen an jeden Beitrag</w:t>
      </w:r>
    </w:p>
    <w:p>
      <w:pPr>
        <w:pStyle w:val="ListParagraph"/>
        <w:numPr>
          <w:ilvl w:val="0"/>
          <w:numId w:val="6"/>
        </w:numPr>
        <w:spacing w:after="60"/>
      </w:pPr>
      <w:r>
        <w:t xml:space="preserve">Was wusste die bisherige Forschung?</w:t>
      </w:r>
    </w:p>
    <w:p>
      <w:pPr>
        <w:pStyle w:val="ListParagraph"/>
        <w:numPr>
          <w:ilvl w:val="0"/>
          <w:numId w:val="6"/>
        </w:numPr>
        <w:spacing w:after="60"/>
      </w:pPr>
      <w:r>
        <w:t xml:space="preserve">Was ist begrenzt, unvollständig, mehrdeutig oder an Randbedingungen gebunden?</w:t>
      </w:r>
    </w:p>
    <w:p>
      <w:pPr>
        <w:pStyle w:val="ListParagraph"/>
        <w:numPr>
          <w:ilvl w:val="0"/>
          <w:numId w:val="6"/>
        </w:numPr>
        <w:spacing w:after="60"/>
      </w:pPr>
      <w:r>
        <w:t xml:space="preserve">Was theoretisiert/zeigt diese Studie?</w:t>
      </w:r>
    </w:p>
    <w:p>
      <w:pPr>
        <w:pStyle w:val="ListParagraph"/>
        <w:numPr>
          <w:ilvl w:val="0"/>
          <w:numId w:val="6"/>
        </w:numPr>
        <w:spacing w:after="60"/>
      </w:pPr>
      <w:r>
        <w:t xml:space="preserve">Was ist der theoretische Ertrag?</w:t>
      </w:r>
    </w:p>
    <w:p>
      <w:pPr>
        <w:pStyle w:val="ListParagraph"/>
        <w:numPr>
          <w:ilvl w:val="0"/>
          <w:numId w:val="6"/>
        </w:numPr>
        <w:spacing w:after="60"/>
      </w:pPr>
      <w:r>
        <w:t xml:space="preserve">Ist dieser Beitrag klar von den anderen unterscheidbar?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A030" w:sz="4"/>
              <w:left w:val="single" w:color="E0A030" w:sz="24"/>
              <w:bottom w:val="single" w:color="E0A030" w:sz="4"/>
              <w:right w:val="single" w:color="E0A030" w:sz="4"/>
            </w:tcBorders>
            <w:shd w:fill="FFF4E0" w:color="auto" w:val="clear"/>
            <w:tcMar>
              <w:top w:type="dxa" w:w="100"/>
              <w:left w:type="dxa" w:w="180"/>
              <w:bottom w:type="dxa" w:w="60"/>
              <w:right w:type="dxa" w:w="180"/>
            </w:tcMar>
          </w:tcPr>
          <w:p>
            <w:pPr>
              <w:spacing w:after="60"/>
            </w:pPr>
            <w:r>
              <w:rPr>
                <w:b/>
                <w:bCs/>
                <w:color w:val="E0A030"/>
              </w:rPr>
              <w:t xml:space="preserve">Achtung:  </w:t>
            </w:r>
            <w:r>
              <w:t xml:space="preserve">Generische Aussagen wie „we contribute by examining X“ werden abgelehnt, solange die theoretische Veränderung nicht explizit benannt ist.</w:t>
            </w:r>
          </w:p>
        </w:tc>
      </w:tr>
    </w:tbl>
    <w:p>
      <w:pPr>
        <w:spacing w:after="80"/>
      </w:pPr>
    </w:p>
    <w:p>
      <w:pPr>
        <w:pStyle w:val="Heading3"/>
      </w:pPr>
      <w:r>
        <w:t xml:space="preserve">Die Lehrstuhl-Schablone</w:t>
      </w:r>
    </w:p>
    <w:p>
      <w:pPr>
        <w:spacing w:after="120"/>
      </w:pPr>
      <w:r>
        <w:t xml:space="preserve">In allen acht Papern sichtbar:</w:t>
      </w:r>
    </w:p>
    <w:p>
      <w:pPr>
        <w:shd w:fill="F5F7FA" w:color="auto" w:val="clear"/>
        <w:spacing w:after="200" w:before="80"/>
        <w:ind w:left="567" w:right="567"/>
      </w:pPr>
      <w:r>
        <w:rPr>
          <w:rFonts w:ascii="Consolas" w:cs="Consolas" w:eastAsia="Consolas" w:hAnsi="Consolas"/>
          <w:color w:val="1F3A5F"/>
          <w:sz w:val="19"/>
          <w:szCs w:val="19"/>
        </w:rPr>
        <w:t xml:space="preserve">First/Second/Third, while [literature X] has [focused on / treated / found] …, we [theorize and show / extend / shift the focus to] … . In doing so / Thus / In this way, we [theoretical payoff].</w:t>
      </w:r>
    </w:p>
    <w:p>
      <w:pPr>
        <w:spacing w:after="120"/>
      </w:pPr>
      <w:r>
        <w:t xml:space="preserve">Mindestens ein Beitrag sollte in die </w:t>
      </w:r>
      <w:r>
        <w:rPr>
          <w:b/>
          <w:bCs/>
        </w:rPr>
        <w:t xml:space="preserve">verwendete Theorie selbst</w:t>
      </w:r>
      <w:r>
        <w:t xml:space="preserve"> zurückwirken.</w:t>
      </w:r>
    </w:p>
    <w:p>
      <w:pPr>
        <w:pStyle w:val="Heading3"/>
      </w:pPr>
      <w:r>
        <w:t xml:space="preserve">Exemplare</w:t>
      </w:r>
    </w:p>
    <w:p>
      <w:pPr>
        <w:spacing w:after="120"/>
      </w:pPr>
      <w:r>
        <w:rPr>
          <w:b/>
          <w:bCs/>
        </w:rPr>
        <w:t xml:space="preserve">Vollständige Vier-Schritt-Logik</w:t>
      </w:r>
    </w:p>
    <w:p>
      <w:pPr>
        <w:pBdr>
          <w:left w:val="single" w:color="2E6DA4" w:sz="18" w:space="10"/>
        </w:pBdr>
        <w:shd w:fill="F5F7FA" w:color="auto" w:val="clear"/>
        <w:spacing w:after="40" w:before="120"/>
        <w:ind w:left="567" w:right="283"/>
      </w:pPr>
      <w:r>
        <w:rPr>
          <w:i/>
          <w:iCs/>
          <w:color w:val="333333"/>
        </w:rPr>
        <w:t xml:space="preserve">„First, while studies that are based on broader resource dependency theory, including those in the CVC literature, treat information inflows over time without differentiating between information from first and follow-on investment rounds (…), we unveil round-specific effects, thus introducing a temporal perspective into this line of literature, and turning the literature's attention to understanding when resource inflows actually lead to desired strategic outcomes (…). We theorize and show that effects are strongest when a round provides the kind of input that a particular innovation outcome requires.“</w:t>
      </w:r>
    </w:p>
    <w:p>
      <w:pPr>
        <w:spacing w:after="120"/>
        <w:ind w:left="567"/>
        <w:jc w:val="left"/>
      </w:pPr>
      <w:r>
        <w:rPr>
          <w:color w:val="5A6270"/>
          <w:sz w:val="18"/>
          <w:szCs w:val="18"/>
        </w:rPr>
        <w:t xml:space="preserve">— Engelen et al. (2026, JPIM), Beitrag 1</w:t>
      </w:r>
    </w:p>
    <w:p>
      <w:pPr>
        <w:spacing w:after="140"/>
      </w:pPr>
      <w:r>
        <w:rPr>
          <w:b/>
          <w:bCs/>
          <w:color w:val="2E6DA4"/>
        </w:rPr>
        <w:t xml:space="preserve">Technik: </w:t>
      </w:r>
      <w:r>
        <w:t xml:space="preserve">Vorliteratur → limitierende Annahme → was wir zeigen → Ertrag für die Theorie („when resource inflows actually lead to desired strategic outcomes“), mit Verweis auf einen expliziten Call in der Literatur.</w:t>
      </w:r>
    </w:p>
    <w:p>
      <w:pPr>
        <w:spacing w:after="120"/>
      </w:pPr>
      <w:r>
        <w:rPr>
          <w:b/>
          <w:bCs/>
        </w:rPr>
        <w:t xml:space="preserve">Eine unentschiedene Debatte auflösen</w:t>
      </w:r>
    </w:p>
    <w:p>
      <w:pPr>
        <w:pBdr>
          <w:left w:val="single" w:color="2E6DA4" w:sz="18" w:space="10"/>
        </w:pBdr>
        <w:shd w:fill="F5F7FA" w:color="auto" w:val="clear"/>
        <w:spacing w:after="40" w:before="120"/>
        <w:ind w:left="567" w:right="283"/>
      </w:pPr>
      <w:r>
        <w:rPr>
          <w:i/>
          <w:iCs/>
          <w:color w:val="333333"/>
        </w:rPr>
        <w:t xml:space="preserve">„Second, CVC research is inconclusive in its discussion of whether related or unrelated investments are more favorable (…). We extend our temporal perspective to the role of relatedness (…). Thus, we add nuance to our temporal perspective and position relatedness as a way to determine when CVC's effects on innovation outcomes set in.“</w:t>
      </w:r>
    </w:p>
    <w:p>
      <w:pPr>
        <w:spacing w:after="120"/>
        <w:ind w:left="567"/>
        <w:jc w:val="left"/>
      </w:pPr>
      <w:r>
        <w:rPr>
          <w:color w:val="5A6270"/>
          <w:sz w:val="18"/>
          <w:szCs w:val="18"/>
        </w:rPr>
        <w:t xml:space="preserve">— Engelen et al. (2026, JPIM), Beitrag 2</w:t>
      </w:r>
    </w:p>
    <w:p>
      <w:pPr>
        <w:spacing w:after="140"/>
      </w:pPr>
      <w:r>
        <w:rPr>
          <w:b/>
          <w:bCs/>
          <w:color w:val="2E6DA4"/>
        </w:rPr>
        <w:t xml:space="preserve">Technik: </w:t>
      </w:r>
      <w:r>
        <w:t xml:space="preserve">Der Beitrag rahmt eine bestehende Debatte neu (</w:t>
      </w:r>
      <w:r>
        <w:rPr>
          <w:i/>
          <w:iCs/>
        </w:rPr>
        <w:t xml:space="preserve">ob</w:t>
      </w:r>
      <w:r>
        <w:t xml:space="preserve"> → </w:t>
      </w:r>
      <w:r>
        <w:rPr>
          <w:i/>
          <w:iCs/>
        </w:rPr>
        <w:t xml:space="preserve">wann</w:t>
      </w:r>
      <w:r>
        <w:t xml:space="preserve">), statt nur einen Moderator hinzuzufügen.</w:t>
      </w:r>
    </w:p>
    <w:p>
      <w:pPr>
        <w:spacing w:after="120"/>
      </w:pPr>
      <w:r>
        <w:rPr>
          <w:b/>
          <w:bCs/>
        </w:rPr>
        <w:t xml:space="preserve">Schweigen über Kombinationen</w:t>
      </w:r>
    </w:p>
    <w:p>
      <w:pPr>
        <w:pBdr>
          <w:left w:val="single" w:color="2E6DA4" w:sz="18" w:space="10"/>
        </w:pBdr>
        <w:shd w:fill="F5F7FA" w:color="auto" w:val="clear"/>
        <w:spacing w:after="40" w:before="120"/>
        <w:ind w:left="567" w:right="283"/>
      </w:pPr>
      <w:r>
        <w:rPr>
          <w:i/>
          <w:iCs/>
          <w:color w:val="333333"/>
        </w:rPr>
        <w:t xml:space="preserve">„Second, while upper echelons research (…) focuses on the presence and duration of certain experiences in isolation (…), it is silent on how combinations of potentially conflicting experiences and the qualitative nuances of an experience affect firm-level outcomes. (…) In doing so, we establish that more fine-grained and holistic investigations of experiences in a CEO's career path can help to explain CEOs' subsequent decisions and firm-level outcomes.“</w:t>
      </w:r>
    </w:p>
    <w:p>
      <w:pPr>
        <w:spacing w:after="120"/>
        <w:ind w:left="567"/>
        <w:jc w:val="left"/>
      </w:pPr>
      <w:r>
        <w:rPr>
          <w:color w:val="5A6270"/>
          <w:sz w:val="18"/>
          <w:szCs w:val="18"/>
        </w:rPr>
        <w:t xml:space="preserve">— Osses et al. (2024, JPIM), Beitrag 2</w:t>
      </w:r>
    </w:p>
    <w:p>
      <w:pPr>
        <w:spacing w:after="120"/>
      </w:pPr>
      <w:r>
        <w:rPr>
          <w:b/>
          <w:bCs/>
        </w:rPr>
        <w:t xml:space="preserve">Rückbeitrag zur entliehenen Theorie</w:t>
      </w:r>
    </w:p>
    <w:p>
      <w:pPr>
        <w:pBdr>
          <w:left w:val="single" w:color="2E6DA4" w:sz="18" w:space="10"/>
        </w:pBdr>
        <w:shd w:fill="F5F7FA" w:color="auto" w:val="clear"/>
        <w:spacing w:after="40" w:before="120"/>
        <w:ind w:left="567" w:right="283"/>
      </w:pPr>
      <w:r>
        <w:rPr>
          <w:i/>
          <w:iCs/>
          <w:color w:val="333333"/>
        </w:rPr>
        <w:t xml:space="preserve">„Third, we contribute to research on PO fit (…) by highlighting that the nature of fit depends on the focal trait under consideration. While much of this research has focused on how a positive trait shared by organizational members (e.g., conscientiousness) can promote high fit, we shift the focus to how a specific (at least partially) negative trait (here: narcissism) can simultaneously provide an organization with fit (…) and misfit (…).“</w:t>
      </w:r>
    </w:p>
    <w:p>
      <w:pPr>
        <w:spacing w:after="120"/>
        <w:ind w:left="567"/>
        <w:jc w:val="left"/>
      </w:pPr>
      <w:r>
        <w:rPr>
          <w:color w:val="5A6270"/>
          <w:sz w:val="18"/>
          <w:szCs w:val="18"/>
        </w:rPr>
        <w:t xml:space="preserve">— Lang et al. (2025, JBV), Beitrag 3</w:t>
      </w:r>
    </w:p>
    <w:p>
      <w:pPr>
        <w:spacing w:after="140"/>
      </w:pPr>
      <w:r>
        <w:rPr>
          <w:b/>
          <w:bCs/>
          <w:color w:val="2E6DA4"/>
        </w:rPr>
        <w:t xml:space="preserve">Technik: </w:t>
      </w:r>
      <w:r>
        <w:t xml:space="preserve">Der dritte Beitrag geht nicht an die Phänomenliteratur, sondern zurück an die </w:t>
      </w:r>
      <w:r>
        <w:rPr>
          <w:b/>
          <w:bCs/>
        </w:rPr>
        <w:t xml:space="preserve">verwendete Theorie</w:t>
      </w:r>
      <w:r>
        <w:t xml:space="preserve"> – und verändert eine ihrer impliziten Annahmen.</w:t>
      </w:r>
    </w:p>
    <w:p>
      <w:pPr>
        <w:spacing w:after="120"/>
      </w:pPr>
      <w:r>
        <w:rPr>
          <w:b/>
          <w:bCs/>
        </w:rPr>
        <w:t xml:space="preserve">Brücke zwischen Analyseebenen</w:t>
      </w:r>
    </w:p>
    <w:p>
      <w:pPr>
        <w:pBdr>
          <w:left w:val="single" w:color="2E6DA4" w:sz="18" w:space="10"/>
        </w:pBdr>
        <w:shd w:fill="F5F7FA" w:color="auto" w:val="clear"/>
        <w:spacing w:after="40" w:before="120"/>
        <w:ind w:left="567" w:right="283"/>
      </w:pPr>
      <w:r>
        <w:rPr>
          <w:i/>
          <w:iCs/>
          <w:color w:val="333333"/>
        </w:rPr>
        <w:t xml:space="preserve">„We foreground an underexplored individual–organizational bridge by theorizing and testing a path in which founder experience serves as an individual-level antecedent of organizational-level absorptive capacity (…). This perspective explicitly links founder characteristics to the emergence of organizational capabilities, thereby connecting prior research treating absorptive capacity as residing in a founder (…) with (a more substantial) literature stream treating absorptive capacity as an organizational-level construct (…).“</w:t>
      </w:r>
    </w:p>
    <w:p>
      <w:pPr>
        <w:spacing w:after="120"/>
        <w:ind w:left="567"/>
        <w:jc w:val="left"/>
      </w:pPr>
      <w:r>
        <w:rPr>
          <w:color w:val="5A6270"/>
          <w:sz w:val="18"/>
          <w:szCs w:val="18"/>
        </w:rPr>
        <w:t xml:space="preserve">— Brandenburg et al. (2026, ETP), Beitrag 3</w:t>
      </w:r>
    </w:p>
    <w:p>
      <w:pPr>
        <w:spacing w:after="120"/>
      </w:pPr>
      <w:r>
        <w:rPr>
          <w:b/>
          <w:bCs/>
        </w:rPr>
        <w:t xml:space="preserve">Ein Paradox herausarbeiten</w:t>
      </w:r>
    </w:p>
    <w:p>
      <w:pPr>
        <w:pBdr>
          <w:left w:val="single" w:color="2E6DA4" w:sz="18" w:space="10"/>
        </w:pBdr>
        <w:shd w:fill="F5F7FA" w:color="auto" w:val="clear"/>
        <w:spacing w:after="40" w:before="120"/>
        <w:ind w:left="567" w:right="283"/>
      </w:pPr>
      <w:r>
        <w:rPr>
          <w:i/>
          <w:iCs/>
          <w:color w:val="333333"/>
        </w:rPr>
        <w:t xml:space="preserve">„Second, we highlight an intriguing paradox in innovation's performance consequences in 'regular' times and in times of crisis. (…) strong pre-shock profitability (…) can impair innovation's ability to unfold its performance effects fully when a crisis sets in and conditions change dramatically.“</w:t>
      </w:r>
    </w:p>
    <w:p>
      <w:pPr>
        <w:spacing w:after="120"/>
        <w:ind w:left="567"/>
        <w:jc w:val="left"/>
      </w:pPr>
      <w:r>
        <w:rPr>
          <w:color w:val="5A6270"/>
          <w:sz w:val="18"/>
          <w:szCs w:val="18"/>
        </w:rPr>
        <w:t xml:space="preserve">— Engelen et al. (2023, JPIM), Beitrag 2</w:t>
      </w:r>
    </w:p>
    <w:p>
      <w:pPr>
        <w:spacing w:after="120"/>
      </w:pPr>
      <w:r>
        <w:rPr>
          <w:b/>
          <w:bCs/>
        </w:rPr>
        <w:t xml:space="preserve">Zwei Beiträge, einer mit Befunden entgegen der Vorhersage</w:t>
      </w:r>
    </w:p>
    <w:p>
      <w:pPr>
        <w:pBdr>
          <w:left w:val="single" w:color="2E6DA4" w:sz="18" w:space="10"/>
        </w:pBdr>
        <w:shd w:fill="F5F7FA" w:color="auto" w:val="clear"/>
        <w:spacing w:after="40" w:before="120"/>
        <w:ind w:left="567" w:right="283"/>
      </w:pPr>
      <w:r>
        <w:rPr>
          <w:i/>
          <w:iCs/>
          <w:color w:val="333333"/>
        </w:rPr>
        <w:t xml:space="preserve">„Interestingly, and partly contrary to our predictions, we find that crisis ventures receiving VC funding mainly increase their R&amp;D output without sacrificing quality (…). These findings support the existence of trigger-dependent heterogeneous development paths (…).“</w:t>
      </w:r>
    </w:p>
    <w:p>
      <w:pPr>
        <w:spacing w:after="120"/>
        <w:ind w:left="567"/>
        <w:jc w:val="left"/>
      </w:pPr>
      <w:r>
        <w:rPr>
          <w:color w:val="5A6270"/>
          <w:sz w:val="18"/>
          <w:szCs w:val="18"/>
        </w:rPr>
        <w:t xml:space="preserve">— Haeberle et al. (2026, JPIM)</w:t>
      </w:r>
    </w:p>
    <w:p>
      <w:pPr>
        <w:spacing w:after="140"/>
      </w:pPr>
      <w:r>
        <w:rPr>
          <w:b/>
          <w:bCs/>
          <w:color w:val="2E6DA4"/>
        </w:rPr>
        <w:t xml:space="preserve">Technik: </w:t>
      </w:r>
      <w:r>
        <w:t xml:space="preserve">Zwei Beiträge genügen, wenn ein dritter konstruiert wäre. Unerwartete Befunde lassen sich im Beitragsabsatz in theoretische Einsicht verwandeln.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A030" w:sz="4"/>
              <w:left w:val="single" w:color="E0A030" w:sz="24"/>
              <w:bottom w:val="single" w:color="E0A030" w:sz="4"/>
              <w:right w:val="single" w:color="E0A030" w:sz="4"/>
            </w:tcBorders>
            <w:shd w:fill="FFF4E0" w:color="auto" w:val="clear"/>
            <w:tcMar>
              <w:top w:type="dxa" w:w="100"/>
              <w:left w:type="dxa" w:w="180"/>
              <w:bottom w:type="dxa" w:w="60"/>
              <w:right w:type="dxa" w:w="180"/>
            </w:tcMar>
          </w:tcPr>
          <w:p>
            <w:pPr>
              <w:spacing w:after="60"/>
            </w:pPr>
            <w:r>
              <w:rPr>
                <w:b/>
                <w:bCs/>
                <w:color w:val="E0A030"/>
              </w:rPr>
              <w:t xml:space="preserve">Achtung:  </w:t>
            </w:r>
            <w:r>
              <w:t xml:space="preserve">Engelen et al. (2023), Beitrag 1 („research on innovation's role in absorbing the effects of shock is absent“) und Rieger et al. (2024), Beitrag 2 („the first to show…“) stützen sich auf Abwesenheits- bzw. First-Claims. In beiden Papern wird der Claim durch eine theoretische Linse bzw. ein zeitliches Kontingenzargument gerettet – Vorbild ist diese Rettung, nicht der Abwesenheits-Claim.</w:t>
            </w:r>
          </w:p>
        </w:tc>
      </w:tr>
    </w:tbl>
    <w:p>
      <w:pPr>
        <w:spacing w:after="80"/>
      </w:pPr>
    </w:p>
    <w:p>
      <w:pPr>
        <w:pStyle w:val="Heading2"/>
      </w:pPr>
      <w:r>
        <w:t xml:space="preserve">3.10  Praxisbeispiele aus Unternehmen</w:t>
      </w:r>
    </w:p>
    <w:p>
      <w:pPr>
        <w:spacing w:after="120"/>
      </w:pPr>
      <w:r>
        <w:t xml:space="preserve">Reale Unternehmens- oder Personenbeispiele sind willkommen, wenn sie </w:t>
      </w:r>
      <w:r>
        <w:rPr>
          <w:b/>
          <w:bCs/>
        </w:rPr>
        <w:t xml:space="preserve">direkt</w:t>
      </w:r>
      <w:r>
        <w:t xml:space="preserve"> dem Phänomen, dem Rätsel oder der Forschungsfrage dienen. Lehrstuhl-Paper verwenden </w:t>
      </w:r>
      <w:r>
        <w:rPr>
          <w:b/>
          <w:bCs/>
        </w:rPr>
        <w:t xml:space="preserve">genau ein</w:t>
      </w:r>
      <w:r>
        <w:t xml:space="preserve"> benanntes Beispiel pro Introduction, an der Stelle, an der es Lücke oder Relevanz schärft – nie als Dekoration.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838"/>
      </w:tblGrid>
      <w:tr>
        <w:trPr>
          <w:tblHeader/>
        </w:trPr>
        <w:tc>
          <w:tcPr>
            <w:tcW w:type="dxa" w:w="23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Paper</w:t>
            </w:r>
          </w:p>
        </w:tc>
        <w:tc>
          <w:tcPr>
            <w:tcW w:type="dxa" w:w="35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Beispiel</w:t>
            </w:r>
          </w:p>
        </w:tc>
        <w:tc>
          <w:tcPr>
            <w:tcW w:type="dxa" w:w="3838"/>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Argumentative Funktion</w:t>
            </w:r>
          </w:p>
        </w:tc>
      </w:tr>
      <w:tr>
        <w:tc>
          <w:tcPr>
            <w:tcW w:type="dxa" w:w="23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Engelen et al. (2026)</w:t>
            </w:r>
          </w:p>
        </w:tc>
        <w:tc>
          <w:tcPr>
            <w:tcW w:type="dxa" w:w="35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Intels erste (2018) und Folgeinvestitionen (2020, 2022, 2024) in Ayar Labs</w:t>
            </w:r>
          </w:p>
        </w:tc>
        <w:tc>
          <w:tcPr>
            <w:tcW w:type="dxa" w:w="38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Zeigt, dass Runden sich unterscheiden; beziffert später die praktische Relevanz (Folgevolumen ≈ 13 × erste Runde).</w:t>
            </w:r>
          </w:p>
        </w:tc>
      </w:tr>
      <w:tr>
        <w:tc>
          <w:tcPr>
            <w:tcW w:type="dxa" w:w="23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Osses et al. (2024)</w:t>
            </w:r>
          </w:p>
        </w:tc>
        <w:tc>
          <w:tcPr>
            <w:tcW w:type="dxa" w:w="35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Dick Costolo (drei Gründungen, später CEO von Twitter)</w:t>
            </w:r>
          </w:p>
        </w:tc>
        <w:tc>
          <w:tcPr>
            <w:tcW w:type="dxa" w:w="38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Macht die abstrakte Kategorie „external founder CEO“ konkret.</w:t>
            </w:r>
          </w:p>
        </w:tc>
      </w:tr>
      <w:tr>
        <w:tc>
          <w:tcPr>
            <w:tcW w:type="dxa" w:w="23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von Nitzsch et al. (2026)</w:t>
            </w:r>
          </w:p>
        </w:tc>
        <w:tc>
          <w:tcPr>
            <w:tcW w:type="dxa" w:w="35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Benu Networks (≈ 60 Mio. USD eingeworben, sechs Jahre ohne Marketing-Gründer oder CMO)</w:t>
            </w:r>
          </w:p>
        </w:tc>
        <w:tc>
          <w:tcPr>
            <w:tcW w:type="dxa" w:w="38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Verkörpert das empirische Rätsel.</w:t>
            </w:r>
          </w:p>
        </w:tc>
      </w:tr>
      <w:tr>
        <w:tc>
          <w:tcPr>
            <w:tcW w:type="dxa" w:w="23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Rieger et al. (2024)</w:t>
            </w:r>
          </w:p>
        </w:tc>
        <w:tc>
          <w:tcPr>
            <w:tcW w:type="dxa" w:w="35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Instagram und Pinterest vs. WhatsApp</w:t>
            </w:r>
          </w:p>
        </w:tc>
        <w:tc>
          <w:tcPr>
            <w:tcW w:type="dxa" w:w="38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Verkörpern die zwei gegensätzlichen Sichtweisen.</w:t>
            </w:r>
          </w:p>
        </w:tc>
      </w:tr>
    </w:tbl>
    <w:p>
      <w:pPr>
        <w:spacing w:after="120"/>
      </w:pPr>
    </w:p>
    <w:p>
      <w:pPr>
        <w:spacing w:after="140"/>
      </w:pPr>
      <w:r>
        <w:rPr>
          <w:b/>
          <w:bCs/>
          <w:color w:val="2E6DA4"/>
        </w:rPr>
        <w:t xml:space="preserve">Technik: </w:t>
      </w:r>
      <w:r>
        <w:t xml:space="preserve">Das Beispiel erfüllt eine argumentative Funktion (illustriert Heterogenität, verkörpert ein Rätsel oder gegensätzliche Sichtweisen) und wird nach Möglichkeit später wieder aufgegriffen.</w:t>
      </w:r>
    </w:p>
    <w:p>
      <w:pPr>
        <w:pStyle w:val="Heading1"/>
        <w:pageBreakBefore/>
      </w:pPr>
      <w:r>
        <w:t xml:space="preserve">4  Länge und Proportionen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4E9A5B" w:sz="4"/>
              <w:left w:val="single" w:color="4E9A5B" w:sz="24"/>
              <w:bottom w:val="single" w:color="4E9A5B" w:sz="4"/>
              <w:right w:val="single" w:color="4E9A5B" w:sz="4"/>
            </w:tcBorders>
            <w:shd w:fill="EAF5EC" w:color="auto" w:val="clear"/>
            <w:tcMar>
              <w:top w:type="dxa" w:w="100"/>
              <w:left w:type="dxa" w:w="180"/>
              <w:bottom w:type="dxa" w:w="60"/>
              <w:right w:type="dxa" w:w="180"/>
            </w:tcMar>
          </w:tcPr>
          <w:p>
            <w:pPr>
              <w:spacing w:after="60"/>
            </w:pPr>
            <w:r>
              <w:rPr>
                <w:b/>
                <w:bCs/>
                <w:color w:val="4E9A5B"/>
              </w:rPr>
              <w:t xml:space="preserve">Obergrenze:  </w:t>
            </w:r>
            <w:r>
              <w:rPr>
                <w:b/>
                <w:bCs/>
              </w:rPr>
              <w:t xml:space="preserve">3–4 Word-Seiten, Times New Roman 12 pt, doppelter Zeilenabstand – niemals mehr als vier Seiten.</w:t>
            </w:r>
            <w:r>
              <w:t xml:space="preserve"> Vier Seiten sind eine Obergrenze, kein Ziel.</w:t>
            </w:r>
          </w:p>
        </w:tc>
      </w:tr>
    </w:tbl>
    <w:p>
      <w:pPr>
        <w:spacing w:after="80"/>
      </w:pPr>
    </w:p>
    <w:p>
      <w:pPr>
        <w:pStyle w:val="Heading2"/>
      </w:pPr>
      <w:r>
        <w:t xml:space="preserve">4.1  Proportionsregeln</w:t>
      </w:r>
    </w:p>
    <w:p>
      <w:pPr>
        <w:pStyle w:val="ListParagraph"/>
        <w:numPr>
          <w:ilvl w:val="0"/>
          <w:numId w:val="2"/>
        </w:numPr>
        <w:spacing w:after="60"/>
      </w:pPr>
      <w:r>
        <w:t xml:space="preserve">Das Literatur-Setup ist </w:t>
      </w:r>
      <w:r>
        <w:rPr>
          <w:b/>
          <w:bCs/>
        </w:rPr>
        <w:t xml:space="preserve">selektiv</w:t>
      </w:r>
      <w:r>
        <w:t xml:space="preserve">.</w:t>
      </w:r>
    </w:p>
    <w:p>
      <w:pPr>
        <w:pStyle w:val="ListParagraph"/>
        <w:numPr>
          <w:ilvl w:val="0"/>
          <w:numId w:val="2"/>
        </w:numPr>
        <w:spacing w:after="60"/>
      </w:pPr>
      <w:r>
        <w:t xml:space="preserve">Relevanzargument und Forschungsfrage sind </w:t>
      </w:r>
      <w:r>
        <w:rPr>
          <w:b/>
          <w:bCs/>
        </w:rPr>
        <w:t xml:space="preserve">sichtbar</w:t>
      </w:r>
      <w:r>
        <w:t xml:space="preserve">.</w:t>
      </w:r>
    </w:p>
    <w:p>
      <w:pPr>
        <w:pStyle w:val="ListParagraph"/>
        <w:numPr>
          <w:ilvl w:val="0"/>
          <w:numId w:val="2"/>
        </w:numPr>
        <w:spacing w:after="60"/>
      </w:pPr>
      <w:r>
        <w:t xml:space="preserve">Das theoretische Modell bekommt </w:t>
      </w:r>
      <w:r>
        <w:rPr>
          <w:b/>
          <w:bCs/>
        </w:rPr>
        <w:t xml:space="preserve">genug Raum</w:t>
      </w:r>
      <w:r>
        <w:t xml:space="preserve">, um die Kernlogik zu formulieren.</w:t>
      </w:r>
    </w:p>
    <w:p>
      <w:pPr>
        <w:pStyle w:val="ListParagraph"/>
        <w:numPr>
          <w:ilvl w:val="0"/>
          <w:numId w:val="2"/>
        </w:numPr>
        <w:spacing w:after="60"/>
      </w:pPr>
      <w:r>
        <w:t xml:space="preserve">Empirische Details bleiben </w:t>
      </w:r>
      <w:r>
        <w:rPr>
          <w:b/>
          <w:bCs/>
        </w:rPr>
        <w:t xml:space="preserve">kurz</w:t>
      </w:r>
      <w:r>
        <w:t xml:space="preserve">.</w:t>
      </w:r>
    </w:p>
    <w:p>
      <w:pPr>
        <w:pStyle w:val="ListParagraph"/>
        <w:numPr>
          <w:ilvl w:val="0"/>
          <w:numId w:val="2"/>
        </w:numPr>
        <w:spacing w:after="60"/>
      </w:pPr>
      <w:r>
        <w:t xml:space="preserve">Die Beiträge bekommen </w:t>
      </w:r>
      <w:r>
        <w:rPr>
          <w:b/>
          <w:bCs/>
        </w:rPr>
        <w:t xml:space="preserve">genug Raum</w:t>
      </w:r>
      <w:r>
        <w:t xml:space="preserve">, um unterscheidbare theoretische Erträge zu entwickeln.</w:t>
      </w:r>
    </w:p>
    <w:p>
      <w:pPr>
        <w:pStyle w:val="Heading2"/>
      </w:pPr>
      <w:r>
        <w:t xml:space="preserve">4.2  Benchmark aus den acht Lehrstuhl-Papern</w:t>
      </w:r>
    </w:p>
    <w:p>
      <w:pPr>
        <w:spacing w:after="120"/>
      </w:pPr>
      <w:r>
        <w:t xml:space="preserve">Alle acht Introductions umfassen etwa </w:t>
      </w:r>
      <w:r>
        <w:rPr>
          <w:b/>
          <w:bCs/>
        </w:rPr>
        <w:t xml:space="preserve">950–1.250 Wörter</w:t>
      </w:r>
      <w:r>
        <w:t xml:space="preserve"> Fließtext, also rund 3,5–4,5 doppelzeilige Seiten – sie liegen damit an oder knapp über der Vier-Seiten-Grenze. Typische Verteilung: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4000"/>
      </w:tblGrid>
      <w:tr>
        <w:trPr>
          <w:tblHeader/>
        </w:trPr>
        <w:tc>
          <w:tcPr>
            <w:tcW w:type="dxa" w:w="5638"/>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Abschnitt</w:t>
            </w:r>
          </w:p>
        </w:tc>
        <w:tc>
          <w:tcPr>
            <w:tcW w:type="dxa" w:w="40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Typischer Umfang</w:t>
            </w:r>
          </w:p>
        </w:tc>
      </w:tr>
      <w:tr>
        <w:tc>
          <w:tcPr>
            <w:tcW w:type="dxa" w:w="56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Das Bekannte</w:t>
            </w:r>
          </w:p>
        </w:tc>
        <w:tc>
          <w:tcPr>
            <w:tcW w:type="dxa" w:w="40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1 Absatz</w:t>
            </w:r>
          </w:p>
        </w:tc>
      </w:tr>
      <w:tr>
        <w:tc>
          <w:tcPr>
            <w:tcW w:type="dxa" w:w="56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Lücke / Spannung</w:t>
            </w:r>
          </w:p>
        </w:tc>
        <w:tc>
          <w:tcPr>
            <w:tcW w:type="dxa" w:w="40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1–2 Absätze</w:t>
            </w:r>
          </w:p>
        </w:tc>
      </w:tr>
      <w:tr>
        <w:tc>
          <w:tcPr>
            <w:tcW w:type="dxa" w:w="56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Relevanz (wissenschaftlich + praktisch) mit Forschungsfrage am Ende</w:t>
            </w:r>
          </w:p>
        </w:tc>
        <w:tc>
          <w:tcPr>
            <w:tcW w:type="dxa" w:w="40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1 Absatz</w:t>
            </w:r>
          </w:p>
        </w:tc>
      </w:tr>
      <w:tr>
        <w:tc>
          <w:tcPr>
            <w:tcW w:type="dxa" w:w="56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Theorie und zentrales Argument</w:t>
            </w:r>
          </w:p>
        </w:tc>
        <w:tc>
          <w:tcPr>
            <w:tcW w:type="dxa" w:w="40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1–2 Absätze</w:t>
            </w:r>
          </w:p>
        </w:tc>
      </w:tr>
      <w:tr>
        <w:tc>
          <w:tcPr>
            <w:tcW w:type="dxa" w:w="56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Empirische Vorschau</w:t>
            </w:r>
          </w:p>
        </w:tc>
        <w:tc>
          <w:tcPr>
            <w:tcW w:type="dxa" w:w="40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1 kurzer Absatz, 3–5 Sätze</w:t>
            </w:r>
          </w:p>
        </w:tc>
      </w:tr>
      <w:tr>
        <w:tc>
          <w:tcPr>
            <w:tcW w:type="dxa" w:w="56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Beiträge</w:t>
            </w:r>
          </w:p>
        </w:tc>
        <w:tc>
          <w:tcPr>
            <w:tcW w:type="dxa" w:w="40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je 1 Absatz; zusammen ca. ¼ bis ⅓ der Introduction</w:t>
            </w:r>
          </w:p>
        </w:tc>
      </w:tr>
    </w:tbl>
    <w:p>
      <w:pPr>
        <w:spacing w:after="120"/>
      </w:pPr>
    </w:p>
    <w:p>
      <w:pPr>
        <w:pStyle w:val="Heading1"/>
        <w:pageBreakBefore/>
      </w:pPr>
      <w:r>
        <w:t xml:space="preserve">5  Sprache, Stil und Redlichkeit</w:t>
      </w:r>
    </w:p>
    <w:p>
      <w:pPr>
        <w:pStyle w:val="Heading2"/>
      </w:pPr>
      <w:r>
        <w:t xml:space="preserve">5.1  Stil</w:t>
      </w:r>
    </w:p>
    <w:p>
      <w:pPr>
        <w:pStyle w:val="ListParagraph"/>
        <w:numPr>
          <w:ilvl w:val="0"/>
          <w:numId w:val="2"/>
        </w:numPr>
        <w:spacing w:after="60"/>
      </w:pPr>
      <w:r>
        <w:t xml:space="preserve">Kurze, klare, </w:t>
      </w:r>
      <w:r>
        <w:rPr>
          <w:b/>
          <w:bCs/>
        </w:rPr>
        <w:t xml:space="preserve">aktive</w:t>
      </w:r>
      <w:r>
        <w:t xml:space="preserve"> akademische Sätze.</w:t>
      </w:r>
    </w:p>
    <w:p>
      <w:pPr>
        <w:pStyle w:val="ListParagraph"/>
        <w:numPr>
          <w:ilvl w:val="0"/>
          <w:numId w:val="2"/>
        </w:numPr>
        <w:spacing w:after="60"/>
      </w:pPr>
      <w:r>
        <w:t xml:space="preserve">Keinen unnötigen Jargon, keine überzogenen Behauptungen, keine vagen Abstraktionen.</w:t>
      </w:r>
    </w:p>
    <w:p>
      <w:pPr>
        <w:pStyle w:val="ListParagraph"/>
        <w:numPr>
          <w:ilvl w:val="0"/>
          <w:numId w:val="2"/>
        </w:numPr>
        <w:spacing w:after="60"/>
      </w:pPr>
      <w:r>
        <w:t xml:space="preserve">Kein repetitives Signposting („In this paper… In this section… As mentioned above…“).</w:t>
      </w:r>
    </w:p>
    <w:p>
      <w:pPr>
        <w:pStyle w:val="ListParagraph"/>
        <w:numPr>
          <w:ilvl w:val="0"/>
          <w:numId w:val="2"/>
        </w:numPr>
        <w:spacing w:after="60"/>
      </w:pPr>
      <w:r>
        <w:t xml:space="preserve">Reale Beispiele nur, wenn sie Phänomen, Rätsel oder Forschungsfrage direkt dienen (siehe 3.10).</w:t>
      </w:r>
    </w:p>
    <w:p>
      <w:pPr>
        <w:pStyle w:val="ListParagraph"/>
        <w:numPr>
          <w:ilvl w:val="0"/>
          <w:numId w:val="2"/>
        </w:numPr>
        <w:spacing w:after="60"/>
      </w:pPr>
      <w:r>
        <w:t xml:space="preserve">Übergänge so gestalten, dass jeder Absatz die Frage beantwortet, die der vorherige aufwirft.</w:t>
      </w:r>
    </w:p>
    <w:p>
      <w:pPr>
        <w:pStyle w:val="Heading2"/>
      </w:pPr>
      <w:r>
        <w:t xml:space="preserve">5.2  Umgang mit Exemplaren</w:t>
      </w:r>
    </w:p>
    <w:p>
      <w:pPr>
        <w:spacing w:after="120"/>
      </w:pPr>
      <w:r>
        <w:t xml:space="preserve">Exemplare zeigen </w:t>
      </w:r>
      <w:r>
        <w:rPr>
          <w:b/>
          <w:bCs/>
        </w:rPr>
        <w:t xml:space="preserve">Techniken</w:t>
      </w:r>
      <w:r>
        <w:t xml:space="preserve">. Wörtliche Formulierungen aus Exemplaren werden nie in den eigenen Text übernommen: Die übertragbare Technik wird extrahiert, die Formulierung für das eigene Manuskript neu geschrieben.</w:t>
      </w:r>
    </w:p>
    <w:p>
      <w:pPr>
        <w:spacing w:after="120"/>
      </w:pPr>
      <w:r>
        <w:t xml:space="preserve">Beim Arbeiten mit Exemplaren hilft dieses Vorgehen:</w:t>
      </w:r>
    </w:p>
    <w:p>
      <w:pPr>
        <w:pStyle w:val="ListParagraph"/>
        <w:numPr>
          <w:ilvl w:val="0"/>
          <w:numId w:val="7"/>
        </w:numPr>
        <w:spacing w:after="60"/>
      </w:pPr>
      <w:r>
        <w:t xml:space="preserve">Die Schwachstelle im eigenen Text benennen (z. B. „Lücke ist eine Abdeckungslücke“).</w:t>
      </w:r>
    </w:p>
    <w:p>
      <w:pPr>
        <w:pStyle w:val="ListParagraph"/>
        <w:numPr>
          <w:ilvl w:val="0"/>
          <w:numId w:val="7"/>
        </w:numPr>
        <w:spacing w:after="60"/>
      </w:pPr>
      <w:r>
        <w:t xml:space="preserve">Im Technik-Index (Kapitel 3 bzw. 8.1) die passende Technik suchen und das </w:t>
      </w:r>
      <w:r>
        <w:rPr>
          <w:b/>
          <w:bCs/>
        </w:rPr>
        <w:t xml:space="preserve">nächstliegende Analogon</w:t>
      </w:r>
      <w:r>
        <w:t xml:space="preserve"> wählen – gleiche Theoriefamilie, Methode, Lückentyp oder Analyseebene (Übersicht in Kapitel 8).</w:t>
      </w:r>
    </w:p>
    <w:p>
      <w:pPr>
        <w:pStyle w:val="ListParagraph"/>
        <w:numPr>
          <w:ilvl w:val="0"/>
          <w:numId w:val="7"/>
        </w:numPr>
        <w:spacing w:after="60"/>
      </w:pPr>
      <w:r>
        <w:t xml:space="preserve">Benennen, was die Technik leistet.</w:t>
      </w:r>
    </w:p>
    <w:p>
      <w:pPr>
        <w:pStyle w:val="ListParagraph"/>
        <w:numPr>
          <w:ilvl w:val="0"/>
          <w:numId w:val="7"/>
        </w:numPr>
        <w:spacing w:after="60"/>
      </w:pPr>
      <w:r>
        <w:t xml:space="preserve">Die Technik auf den eigenen Fall übertragen und neu formulieren.</w:t>
      </w:r>
    </w:p>
    <w:p>
      <w:pPr>
        <w:pStyle w:val="ListParagraph"/>
        <w:numPr>
          <w:ilvl w:val="0"/>
          <w:numId w:val="7"/>
        </w:numPr>
        <w:spacing w:after="60"/>
      </w:pPr>
      <w:r>
        <w:t xml:space="preserve">Markierte Stellen („overlooked“, „underexplored“, „the first“) nur für die umgebende Logik nutzen, nie für die Formulierung.</w:t>
      </w:r>
    </w:p>
    <w:p>
      <w:pPr>
        <w:pStyle w:val="Heading2"/>
      </w:pPr>
      <w:r>
        <w:t xml:space="preserve">5.3  Wissenschaftliche Redlichkeit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A030" w:sz="4"/>
              <w:left w:val="single" w:color="E0A030" w:sz="24"/>
              <w:bottom w:val="single" w:color="E0A030" w:sz="4"/>
              <w:right w:val="single" w:color="E0A030" w:sz="4"/>
            </w:tcBorders>
            <w:shd w:fill="FFF4E0" w:color="auto" w:val="clear"/>
            <w:tcMar>
              <w:top w:type="dxa" w:w="100"/>
              <w:left w:type="dxa" w:w="180"/>
              <w:bottom w:type="dxa" w:w="60"/>
              <w:right w:type="dxa" w:w="180"/>
            </w:tcMar>
          </w:tcPr>
          <w:p>
            <w:pPr>
              <w:spacing w:after="60"/>
            </w:pPr>
            <w:r>
              <w:rPr>
                <w:b/>
                <w:bCs/>
                <w:color w:val="E0A030"/>
              </w:rPr>
              <w:t xml:space="preserve">Achtung:  </w:t>
            </w:r>
            <w:r>
              <w:t xml:space="preserve">Keine erfundenen Referenzen, empirischen Befunde, Konstrukte, Mechanismen, theoretischen Behauptungen oder ungestützten Beitragsansprüche. Wo eine Literaturprüfung nötig ist, wird sie ausdrücklich als offener Punkt markiert – das gilt auch für KI-gestützte Formulierungsvorschläge.</w:t>
            </w:r>
          </w:p>
        </w:tc>
      </w:tr>
    </w:tbl>
    <w:p>
      <w:pPr>
        <w:spacing w:after="80"/>
      </w:pPr>
    </w:p>
    <w:p>
      <w:pPr>
        <w:pStyle w:val="Heading1"/>
        <w:pageBreakBefore/>
      </w:pPr>
      <w:r>
        <w:t xml:space="preserve">6  Selbsttests</w:t>
      </w:r>
    </w:p>
    <w:p>
      <w:pPr>
        <w:spacing w:after="120"/>
      </w:pPr>
      <w:r>
        <w:t xml:space="preserve">Eine fertige Introduction lässt sich an einer Reihe kurzer Tests messen. Wer die folgenden Sätze für das eigene Paper nicht präzise vervollständigen kann, hat an diesem Baustein noch eine Schwachstelle – und die Introduction wird sie nicht verbergen.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4888"/>
        <w:gridCol w:w="2900"/>
      </w:tblGrid>
      <w:tr>
        <w:trPr>
          <w:tblHeader/>
        </w:trPr>
        <w:tc>
          <w:tcPr>
            <w:tcW w:type="dxa" w:w="185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Baustein</w:t>
            </w:r>
          </w:p>
        </w:tc>
        <w:tc>
          <w:tcPr>
            <w:tcW w:type="dxa" w:w="4888"/>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Test</w:t>
            </w:r>
          </w:p>
        </w:tc>
        <w:tc>
          <w:tcPr>
            <w:tcW w:type="dxa" w:w="29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Woran das Scheitern erkennbar ist</w:t>
            </w:r>
          </w:p>
        </w:tc>
      </w:tr>
      <w:tr>
        <w:tc>
          <w:tcPr>
            <w:tcW w:type="dxa" w:w="185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Lücke</w:t>
            </w:r>
          </w:p>
        </w:tc>
        <w:tc>
          <w:tcPr>
            <w:tcW w:type="dxa" w:w="488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Das ungelöste Problem lässt sich in 2–3 Sätzen erklären – </w:t>
            </w:r>
            <w:r>
              <w:rPr>
                <w:b/>
                <w:bCs/>
                <w:sz w:val="20"/>
                <w:szCs w:val="20"/>
              </w:rPr>
              <w:t xml:space="preserve">ohne</w:t>
            </w:r>
            <w:r>
              <w:rPr>
                <w:sz w:val="20"/>
                <w:szCs w:val="20"/>
              </w:rPr>
              <w:t xml:space="preserve"> „little research“, „overlooked“, „first“ oder „understudied“.</w:t>
            </w:r>
          </w:p>
        </w:tc>
        <w:tc>
          <w:tcPr>
            <w:tcW w:type="dxa" w:w="29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Die Lücke ist eine Neuheits- oder Abdeckungslücke.</w:t>
            </w:r>
          </w:p>
        </w:tc>
      </w:tr>
      <w:tr>
        <w:tc>
          <w:tcPr>
            <w:tcW w:type="dxa" w:w="185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Relevanz</w:t>
            </w:r>
          </w:p>
        </w:tc>
        <w:tc>
          <w:tcPr>
            <w:tcW w:type="dxa" w:w="488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„Without resolving this issue, existing theory cannot adequately explain ______.“</w:t>
            </w:r>
          </w:p>
        </w:tc>
        <w:tc>
          <w:tcPr>
            <w:tcW w:type="dxa" w:w="29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Die Relevanz bleibt phänomenbezogen oder vage.</w:t>
            </w:r>
          </w:p>
        </w:tc>
      </w:tr>
      <w:tr>
        <w:tc>
          <w:tcPr>
            <w:tcW w:type="dxa" w:w="185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Kontext</w:t>
            </w:r>
          </w:p>
        </w:tc>
        <w:tc>
          <w:tcPr>
            <w:tcW w:type="dxa" w:w="488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„This context changes existing theoretical logic because ______.“</w:t>
            </w:r>
          </w:p>
        </w:tc>
        <w:tc>
          <w:tcPr>
            <w:tcW w:type="dxa" w:w="29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Der Kontext wird nur mit „noch nicht untersucht“ begründet.</w:t>
            </w:r>
          </w:p>
        </w:tc>
      </w:tr>
      <w:tr>
        <w:tc>
          <w:tcPr>
            <w:tcW w:type="dxa" w:w="185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Konfiguration</w:t>
            </w:r>
          </w:p>
        </w:tc>
        <w:tc>
          <w:tcPr>
            <w:tcW w:type="dxa" w:w="488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„The effect/meaning of X depends on Y because ______.“</w:t>
            </w:r>
          </w:p>
        </w:tc>
        <w:tc>
          <w:tcPr>
            <w:tcW w:type="dxa" w:w="29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fsQCA wird nur mit Heterogenität begründet.</w:t>
            </w:r>
          </w:p>
        </w:tc>
      </w:tr>
      <w:tr>
        <w:tc>
          <w:tcPr>
            <w:tcW w:type="dxa" w:w="185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Mechanismus</w:t>
            </w:r>
          </w:p>
        </w:tc>
        <w:tc>
          <w:tcPr>
            <w:tcW w:type="dxa" w:w="488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„X affects Y because it changes _____</w:t>
            </w:r>
            <w:r>
              <w:rPr>
                <w:i/>
                <w:iCs/>
                <w:sz w:val="20"/>
                <w:szCs w:val="20"/>
              </w:rPr>
              <w:t xml:space="preserve">, which in turn </w:t>
            </w:r>
            <w:r>
              <w:rPr>
                <w:sz w:val="20"/>
                <w:szCs w:val="20"/>
              </w:rPr>
              <w:t xml:space="preserve">_____.“</w:t>
            </w:r>
          </w:p>
        </w:tc>
        <w:tc>
          <w:tcPr>
            <w:tcW w:type="dxa" w:w="29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Das zentrale Argument fehlt oder bleibt eine Korrelationsbehauptung.</w:t>
            </w:r>
          </w:p>
        </w:tc>
      </w:tr>
      <w:tr>
        <w:tc>
          <w:tcPr>
            <w:tcW w:type="dxa" w:w="185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Forschungsfrage</w:t>
            </w:r>
          </w:p>
        </w:tc>
        <w:tc>
          <w:tcPr>
            <w:tcW w:type="dxa" w:w="488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Die Forschungsfrage enthält ausschließlich Konstrukte, die in der Introduction bereits motiviert wurden.</w:t>
            </w:r>
          </w:p>
        </w:tc>
        <w:tc>
          <w:tcPr>
            <w:tcW w:type="dxa" w:w="29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Die Frage fehlt, ist zu breit oder enthält neue Konstrukte.</w:t>
            </w:r>
          </w:p>
        </w:tc>
      </w:tr>
      <w:tr>
        <w:tc>
          <w:tcPr>
            <w:tcW w:type="dxa" w:w="185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Beitrag</w:t>
            </w:r>
          </w:p>
        </w:tc>
        <w:tc>
          <w:tcPr>
            <w:tcW w:type="dxa" w:w="488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Für jeden Beitrag: „Prior literature knew X → we show Y → therefore we now understand Z.“</w:t>
            </w:r>
          </w:p>
        </w:tc>
        <w:tc>
          <w:tcPr>
            <w:tcW w:type="dxa" w:w="29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Beiträge sind generisch („we contribute by examining…“) oder überlappen.</w:t>
            </w:r>
          </w:p>
        </w:tc>
      </w:tr>
    </w:tbl>
    <w:p>
      <w:pPr>
        <w:spacing w:after="120"/>
      </w:pPr>
    </w:p>
    <w:p>
      <w:pPr>
        <w:pStyle w:val="Heading1"/>
        <w:pageBreakBefore/>
      </w:pPr>
      <w:r>
        <w:t xml:space="preserve">7  Signature Chair Moves – Kurzreferenz</w:t>
      </w:r>
    </w:p>
    <w:p>
      <w:pPr>
        <w:spacing w:after="120"/>
      </w:pPr>
      <w:r>
        <w:t xml:space="preserve">Neun wiederkehrende Muster aus den publizierten Lehrstuhl-Papern:</w:t>
      </w:r>
    </w:p>
    <w:p>
      <w:pPr>
        <w:pStyle w:val="ListParagraph"/>
        <w:numPr>
          <w:ilvl w:val="0"/>
          <w:numId w:val="8"/>
        </w:numPr>
        <w:spacing w:after="60"/>
      </w:pPr>
      <w:r>
        <w:t xml:space="preserve">Die </w:t>
      </w:r>
      <w:r>
        <w:rPr>
          <w:b/>
          <w:bCs/>
        </w:rPr>
        <w:t xml:space="preserve">fokale Theorie</w:t>
      </w:r>
      <w:r>
        <w:t xml:space="preserve"> im ersten oder zweiten Absatz nennen.</w:t>
      </w:r>
    </w:p>
    <w:p>
      <w:pPr>
        <w:pStyle w:val="ListParagraph"/>
        <w:numPr>
          <w:ilvl w:val="0"/>
          <w:numId w:val="8"/>
        </w:numPr>
        <w:spacing w:after="60"/>
      </w:pPr>
      <w:r>
        <w:t xml:space="preserve">Die Lücke als </w:t>
      </w:r>
      <w:r>
        <w:rPr>
          <w:b/>
          <w:bCs/>
        </w:rPr>
        <w:t xml:space="preserve">Erklärung gemischter Befunde, widerstreitende Logik, Randbedingung oder Rätsel</w:t>
      </w:r>
      <w:r>
        <w:t xml:space="preserve"> bauen – und einen neuen Mechanismus oder Pfad </w:t>
      </w:r>
      <w:r>
        <w:rPr>
          <w:b/>
          <w:bCs/>
        </w:rPr>
        <w:t xml:space="preserve">einprägsam benennen</w:t>
      </w:r>
      <w:r>
        <w:t xml:space="preserve"> („venture-building path“, „temporal perspective“, „crisis ventures“, „external founder CEOs“).</w:t>
      </w:r>
    </w:p>
    <w:p>
      <w:pPr>
        <w:pStyle w:val="ListParagraph"/>
        <w:numPr>
          <w:ilvl w:val="0"/>
          <w:numId w:val="8"/>
        </w:numPr>
        <w:spacing w:after="60"/>
      </w:pPr>
      <w:r>
        <w:t xml:space="preserve">Den </w:t>
      </w:r>
      <w:r>
        <w:rPr>
          <w:b/>
          <w:bCs/>
        </w:rPr>
        <w:t xml:space="preserve">Zwei-Perspektiven-Absatz</w:t>
      </w:r>
      <w:r>
        <w:t xml:space="preserve"> verwenden: „Understanding X is important from both scholarly and practical perspectives. From a scholarly perspective… From a practical perspective…“</w:t>
      </w:r>
    </w:p>
    <w:p>
      <w:pPr>
        <w:pStyle w:val="ListParagraph"/>
        <w:numPr>
          <w:ilvl w:val="0"/>
          <w:numId w:val="8"/>
        </w:numPr>
        <w:spacing w:after="60"/>
      </w:pPr>
      <w:r>
        <w:t xml:space="preserve">Diesen Absatz mit </w:t>
      </w:r>
      <w:r>
        <w:rPr>
          <w:b/>
          <w:bCs/>
        </w:rPr>
        <w:t xml:space="preserve">„Therefore, we ask: …?“</w:t>
      </w:r>
      <w:r>
        <w:t xml:space="preserve"> beenden.</w:t>
      </w:r>
    </w:p>
    <w:p>
      <w:pPr>
        <w:pStyle w:val="ListParagraph"/>
        <w:numPr>
          <w:ilvl w:val="0"/>
          <w:numId w:val="8"/>
        </w:numPr>
        <w:spacing w:after="60"/>
      </w:pPr>
      <w:r>
        <w:t xml:space="preserve">Den nächsten Absatz mit </w:t>
      </w:r>
      <w:r>
        <w:rPr>
          <w:b/>
          <w:bCs/>
        </w:rPr>
        <w:t xml:space="preserve">„To address this research question, we draw on [theory]…“</w:t>
      </w:r>
      <w:r>
        <w:t xml:space="preserve"> eröffnen und </w:t>
      </w:r>
      <w:r>
        <w:rPr>
          <w:b/>
          <w:bCs/>
        </w:rPr>
        <w:t xml:space="preserve">„Our central argument is that…“</w:t>
      </w:r>
      <w:r>
        <w:t xml:space="preserve"> signalisieren.</w:t>
      </w:r>
    </w:p>
    <w:p>
      <w:pPr>
        <w:pStyle w:val="ListParagraph"/>
        <w:numPr>
          <w:ilvl w:val="0"/>
          <w:numId w:val="8"/>
        </w:numPr>
        <w:spacing w:after="60"/>
      </w:pPr>
      <w:r>
        <w:rPr>
          <w:b/>
          <w:bCs/>
        </w:rPr>
        <w:t xml:space="preserve">Moderatoren</w:t>
      </w:r>
      <w:r>
        <w:t xml:space="preserve"> als „further nuance“ zur Kernlogik einführen, begründet durch Annahmen der Theorie.</w:t>
      </w:r>
    </w:p>
    <w:p>
      <w:pPr>
        <w:pStyle w:val="ListParagraph"/>
        <w:numPr>
          <w:ilvl w:val="0"/>
          <w:numId w:val="8"/>
        </w:numPr>
        <w:spacing w:after="60"/>
      </w:pPr>
      <w:r>
        <w:t xml:space="preserve">Die </w:t>
      </w:r>
      <w:r>
        <w:rPr>
          <w:b/>
          <w:bCs/>
        </w:rPr>
        <w:t xml:space="preserve">empirische Vorschau</w:t>
      </w:r>
      <w:r>
        <w:t xml:space="preserve"> auf einen Absatz begrenzen (N, Zeitraum, Datenquellen, Methode, Interviews als Ergänzung).</w:t>
      </w:r>
    </w:p>
    <w:p>
      <w:pPr>
        <w:pStyle w:val="ListParagraph"/>
        <w:numPr>
          <w:ilvl w:val="0"/>
          <w:numId w:val="8"/>
        </w:numPr>
        <w:spacing w:after="60"/>
      </w:pPr>
      <w:r>
        <w:t xml:space="preserve">Die </w:t>
      </w:r>
      <w:r>
        <w:rPr>
          <w:b/>
          <w:bCs/>
        </w:rPr>
        <w:t xml:space="preserve">Beiträge</w:t>
      </w:r>
      <w:r>
        <w:t xml:space="preserve"> als „First/Second/Third, while [literature] has…, we… In doing so, we…“ schreiben – mindestens einer wirkt in die verwendete Theorie zurück.</w:t>
      </w:r>
    </w:p>
    <w:p>
      <w:pPr>
        <w:pStyle w:val="ListParagraph"/>
        <w:numPr>
          <w:ilvl w:val="0"/>
          <w:numId w:val="8"/>
        </w:numPr>
        <w:spacing w:after="60"/>
      </w:pPr>
      <w:r>
        <w:rPr>
          <w:b/>
          <w:bCs/>
        </w:rPr>
        <w:t xml:space="preserve">Genau ein</w:t>
      </w:r>
      <w:r>
        <w:t xml:space="preserve"> reales Unternehmens- oder Personenbeispiel verwenden und es argumentative Arbeit leisten lassen.</w:t>
      </w:r>
    </w:p>
    <w:p>
      <w:pPr>
        <w:pStyle w:val="Heading1"/>
        <w:pageBreakBefore/>
      </w:pPr>
      <w:r>
        <w:t xml:space="preserve">8  Die Exemplar-Paper im Überblick</w:t>
      </w:r>
    </w:p>
    <w:p>
      <w:pPr>
        <w:spacing w:after="120"/>
      </w:pPr>
      <w:r>
        <w:t xml:space="preserve">Die Übersicht hilft, für das eigene Paper das </w:t>
      </w:r>
      <w:r>
        <w:rPr>
          <w:b/>
          <w:bCs/>
        </w:rPr>
        <w:t xml:space="preserve">nächstliegende Analogon</w:t>
      </w:r>
      <w:r>
        <w:t xml:space="preserve"> zu finden – nach Theoriefamilie, Methode oder Lückentyp.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850"/>
        <w:gridCol w:w="1600"/>
        <w:gridCol w:w="1500"/>
        <w:gridCol w:w="2188"/>
        <w:gridCol w:w="800"/>
      </w:tblGrid>
      <w:tr>
        <w:trPr>
          <w:tblHeader/>
        </w:trPr>
        <w:tc>
          <w:tcPr>
            <w:tcW w:type="dxa" w:w="27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17"/>
                <w:szCs w:val="17"/>
              </w:rPr>
              <w:t xml:space="preserve">Paper</w:t>
            </w:r>
          </w:p>
        </w:tc>
        <w:tc>
          <w:tcPr>
            <w:tcW w:type="dxa" w:w="85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17"/>
                <w:szCs w:val="17"/>
              </w:rPr>
              <w:t xml:space="preserve">Journal</w:t>
            </w:r>
          </w:p>
        </w:tc>
        <w:tc>
          <w:tcPr>
            <w:tcW w:type="dxa" w:w="16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17"/>
                <w:szCs w:val="17"/>
              </w:rPr>
              <w:t xml:space="preserve">Theorie</w:t>
            </w:r>
          </w:p>
        </w:tc>
        <w:tc>
          <w:tcPr>
            <w:tcW w:type="dxa" w:w="15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17"/>
                <w:szCs w:val="17"/>
              </w:rPr>
              <w:t xml:space="preserve">Methode</w:t>
            </w:r>
          </w:p>
        </w:tc>
        <w:tc>
          <w:tcPr>
            <w:tcW w:type="dxa" w:w="2188"/>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17"/>
                <w:szCs w:val="17"/>
              </w:rPr>
              <w:t xml:space="preserve">Lückentyp</w:t>
            </w:r>
          </w:p>
        </w:tc>
        <w:tc>
          <w:tcPr>
            <w:tcW w:type="dxa" w:w="8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17"/>
                <w:szCs w:val="17"/>
              </w:rPr>
              <w:t xml:space="preserve">Beitr.</w:t>
            </w:r>
          </w:p>
        </w:tc>
      </w:tr>
      <w:tr>
        <w:tc>
          <w:tcPr>
            <w:tcW w:type="dxa" w:w="27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b/>
                <w:bCs/>
                <w:sz w:val="17"/>
                <w:szCs w:val="17"/>
              </w:rPr>
              <w:t xml:space="preserve">Engelen et al. (2026):</w:t>
            </w:r>
            <w:r>
              <w:rPr>
                <w:sz w:val="17"/>
                <w:szCs w:val="17"/>
              </w:rPr>
              <w:t xml:space="preserve"> A temporal perspective on CVC investments' potential to foster innovation</w:t>
            </w:r>
          </w:p>
        </w:tc>
        <w:tc>
          <w:tcPr>
            <w:tcW w:type="dxa" w:w="85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JPIM</w:t>
            </w:r>
          </w:p>
        </w:tc>
        <w:tc>
          <w:tcPr>
            <w:tcW w:type="dxa" w:w="16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Resource dependency theory</w:t>
            </w:r>
          </w:p>
        </w:tc>
        <w:tc>
          <w:tcPr>
            <w:tcW w:type="dxa" w:w="15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Panel, 708 Firmen; 27 Interviews</w:t>
            </w:r>
          </w:p>
        </w:tc>
        <w:tc>
          <w:tcPr>
            <w:tcW w:type="dxa" w:w="218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Gemischte Befunde → statische Behandlung von Investitionsrunden</w:t>
            </w:r>
          </w:p>
        </w:tc>
        <w:tc>
          <w:tcPr>
            <w:tcW w:type="dxa" w:w="8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3</w:t>
            </w:r>
          </w:p>
        </w:tc>
      </w:tr>
      <w:tr>
        <w:tc>
          <w:tcPr>
            <w:tcW w:type="dxa" w:w="27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b/>
                <w:bCs/>
                <w:sz w:val="17"/>
                <w:szCs w:val="17"/>
              </w:rPr>
              <w:t xml:space="preserve">Haeberle et al. (2026):</w:t>
            </w:r>
            <w:r>
              <w:rPr>
                <w:sz w:val="17"/>
                <w:szCs w:val="17"/>
              </w:rPr>
              <w:t xml:space="preserve"> Do tech-based new ventures founded during major economic crises generate different R&amp;D outputs?</w:t>
            </w:r>
          </w:p>
        </w:tc>
        <w:tc>
          <w:tcPr>
            <w:tcW w:type="dxa" w:w="85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JPIM</w:t>
            </w:r>
          </w:p>
        </w:tc>
        <w:tc>
          <w:tcPr>
            <w:tcW w:type="dxa" w:w="16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Resource-based theories / resource orchestration; entrepreneurial leap</w:t>
            </w:r>
          </w:p>
        </w:tc>
        <w:tc>
          <w:tcPr>
            <w:tcW w:type="dxa" w:w="15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Gematchte Stichprobe (GFC vs. später)</w:t>
            </w:r>
          </w:p>
        </w:tc>
        <w:tc>
          <w:tcPr>
            <w:tcW w:type="dxa" w:w="218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Randbedingung: Theorie aus etablierten Firmen überträgt sich nicht auf Ventures</w:t>
            </w:r>
          </w:p>
        </w:tc>
        <w:tc>
          <w:tcPr>
            <w:tcW w:type="dxa" w:w="8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2</w:t>
            </w:r>
          </w:p>
        </w:tc>
      </w:tr>
      <w:tr>
        <w:tc>
          <w:tcPr>
            <w:tcW w:type="dxa" w:w="27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b/>
                <w:bCs/>
                <w:sz w:val="17"/>
                <w:szCs w:val="17"/>
              </w:rPr>
              <w:t xml:space="preserve">von Nitzsch et al. (2026):</w:t>
            </w:r>
            <w:r>
              <w:rPr>
                <w:sz w:val="17"/>
                <w:szCs w:val="17"/>
              </w:rPr>
              <w:t xml:space="preserve"> A configurational perspective of marketing's role in the performance of tech-based ventures</w:t>
            </w:r>
          </w:p>
        </w:tc>
        <w:tc>
          <w:tcPr>
            <w:tcW w:type="dxa" w:w="85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JAMS</w:t>
            </w:r>
          </w:p>
        </w:tc>
        <w:tc>
          <w:tcPr>
            <w:tcW w:type="dxa" w:w="16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RBV, Ressourcen-konfigurationen</w:t>
            </w:r>
          </w:p>
        </w:tc>
        <w:tc>
          <w:tcPr>
            <w:tcW w:type="dxa" w:w="15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fsQCA + Regression + 13 Interviews</w:t>
            </w:r>
          </w:p>
        </w:tc>
        <w:tc>
          <w:tcPr>
            <w:tcW w:type="dxa" w:w="218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Nettoeffekte einzelner Ebenen vs. äquifinale Konfigurationen; empirisches Rätsel</w:t>
            </w:r>
          </w:p>
        </w:tc>
        <w:tc>
          <w:tcPr>
            <w:tcW w:type="dxa" w:w="8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2</w:t>
            </w:r>
          </w:p>
        </w:tc>
      </w:tr>
      <w:tr>
        <w:tc>
          <w:tcPr>
            <w:tcW w:type="dxa" w:w="27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b/>
                <w:bCs/>
                <w:sz w:val="17"/>
                <w:szCs w:val="17"/>
              </w:rPr>
              <w:t xml:space="preserve">Brandenburg et al. (2026):</w:t>
            </w:r>
            <w:r>
              <w:rPr>
                <w:sz w:val="17"/>
                <w:szCs w:val="17"/>
              </w:rPr>
              <w:t xml:space="preserve"> Founding experience and tech-based ventures' innovation: The mediating role of absorptive capacity</w:t>
            </w:r>
          </w:p>
        </w:tc>
        <w:tc>
          <w:tcPr>
            <w:tcW w:type="dxa" w:w="85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ETP</w:t>
            </w:r>
          </w:p>
        </w:tc>
        <w:tc>
          <w:tcPr>
            <w:tcW w:type="dxa" w:w="16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Knowledge-based view; absorptive capacity</w:t>
            </w:r>
          </w:p>
        </w:tc>
        <w:tc>
          <w:tcPr>
            <w:tcW w:type="dxa" w:w="15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10-Jahres-Panel, 1.560 Ventures</w:t>
            </w:r>
          </w:p>
        </w:tc>
        <w:tc>
          <w:tcPr>
            <w:tcW w:type="dxa" w:w="218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Ungelöster Mechanismus (zweiter, „venture-building“ Pfad)</w:t>
            </w:r>
          </w:p>
        </w:tc>
        <w:tc>
          <w:tcPr>
            <w:tcW w:type="dxa" w:w="8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3</w:t>
            </w:r>
          </w:p>
        </w:tc>
      </w:tr>
      <w:tr>
        <w:tc>
          <w:tcPr>
            <w:tcW w:type="dxa" w:w="27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b/>
                <w:bCs/>
                <w:sz w:val="17"/>
                <w:szCs w:val="17"/>
              </w:rPr>
              <w:t xml:space="preserve">Lang et al. (2025):</w:t>
            </w:r>
            <w:r>
              <w:rPr>
                <w:sz w:val="17"/>
                <w:szCs w:val="17"/>
              </w:rPr>
              <w:t xml:space="preserve"> Narcissism configurations in founding teams, co-founder turnover and venture growth</w:t>
            </w:r>
          </w:p>
        </w:tc>
        <w:tc>
          <w:tcPr>
            <w:tcW w:type="dxa" w:w="85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JBV</w:t>
            </w:r>
          </w:p>
        </w:tc>
        <w:tc>
          <w:tcPr>
            <w:tcW w:type="dxa" w:w="16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Person-organization fit theory</w:t>
            </w:r>
          </w:p>
        </w:tc>
        <w:tc>
          <w:tcPr>
            <w:tcW w:type="dxa" w:w="15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Panel, 911 Ventures</w:t>
            </w:r>
          </w:p>
        </w:tc>
        <w:tc>
          <w:tcPr>
            <w:tcW w:type="dxa" w:w="218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Analyseebene (Solo-Gründer vs. Teams) + gemischte Befunde</w:t>
            </w:r>
          </w:p>
        </w:tc>
        <w:tc>
          <w:tcPr>
            <w:tcW w:type="dxa" w:w="8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3</w:t>
            </w:r>
          </w:p>
        </w:tc>
      </w:tr>
      <w:tr>
        <w:tc>
          <w:tcPr>
            <w:tcW w:type="dxa" w:w="27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b/>
                <w:bCs/>
                <w:sz w:val="17"/>
                <w:szCs w:val="17"/>
              </w:rPr>
              <w:t xml:space="preserve">Osses et al. (2024):</w:t>
            </w:r>
            <w:r>
              <w:rPr>
                <w:sz w:val="17"/>
                <w:szCs w:val="17"/>
              </w:rPr>
              <w:t xml:space="preserve"> Do external founder CEOs place strategic emphasis on innovation?</w:t>
            </w:r>
          </w:p>
        </w:tc>
        <w:tc>
          <w:tcPr>
            <w:tcW w:type="dxa" w:w="85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JPIM</w:t>
            </w:r>
          </w:p>
        </w:tc>
        <w:tc>
          <w:tcPr>
            <w:tcW w:type="dxa" w:w="16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Upper echelons theory</w:t>
            </w:r>
          </w:p>
        </w:tc>
        <w:tc>
          <w:tcPr>
            <w:tcW w:type="dxa" w:w="15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789 S&amp;P-500-Firmen, 1.637 CEOs; Interviews</w:t>
            </w:r>
          </w:p>
        </w:tc>
        <w:tc>
          <w:tcPr>
            <w:tcW w:type="dxa" w:w="218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Widerstreitende Logiken in einem neuen CEO-Typ</w:t>
            </w:r>
          </w:p>
        </w:tc>
        <w:tc>
          <w:tcPr>
            <w:tcW w:type="dxa" w:w="8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3</w:t>
            </w:r>
          </w:p>
        </w:tc>
      </w:tr>
      <w:tr>
        <w:tc>
          <w:tcPr>
            <w:tcW w:type="dxa" w:w="27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b/>
                <w:bCs/>
                <w:sz w:val="17"/>
                <w:szCs w:val="17"/>
              </w:rPr>
              <w:t xml:space="preserve">Rieger, Dreller &amp; Engelen (2024):</w:t>
            </w:r>
            <w:r>
              <w:rPr>
                <w:sz w:val="17"/>
                <w:szCs w:val="17"/>
              </w:rPr>
              <w:t xml:space="preserve"> Zooming in on the very early days: Trademark applications and VC seed funding</w:t>
            </w:r>
          </w:p>
        </w:tc>
        <w:tc>
          <w:tcPr>
            <w:tcW w:type="dxa" w:w="85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JMR</w:t>
            </w:r>
          </w:p>
        </w:tc>
        <w:tc>
          <w:tcPr>
            <w:tcW w:type="dxa" w:w="16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Legitimacy theory; VC decision-making</w:t>
            </w:r>
          </w:p>
        </w:tc>
        <w:tc>
          <w:tcPr>
            <w:tcW w:type="dxa" w:w="15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Extended Cox / Aalen, 5.370 Ventures; 20 Interviews</w:t>
            </w:r>
          </w:p>
        </w:tc>
        <w:tc>
          <w:tcPr>
            <w:tcW w:type="dxa" w:w="218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Offene Frage mit divergierenden Praxissichtweisen</w:t>
            </w:r>
          </w:p>
        </w:tc>
        <w:tc>
          <w:tcPr>
            <w:tcW w:type="dxa" w:w="8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3</w:t>
            </w:r>
          </w:p>
        </w:tc>
      </w:tr>
      <w:tr>
        <w:tc>
          <w:tcPr>
            <w:tcW w:type="dxa" w:w="27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b/>
                <w:bCs/>
                <w:sz w:val="17"/>
                <w:szCs w:val="17"/>
              </w:rPr>
              <w:t xml:space="preserve">Engelen et al. (2023):</w:t>
            </w:r>
            <w:r>
              <w:rPr>
                <w:sz w:val="17"/>
                <w:szCs w:val="17"/>
              </w:rPr>
              <w:t xml:space="preserve"> Building a resilient organization through a pre-shock strategic emphasis on innovation</w:t>
            </w:r>
          </w:p>
        </w:tc>
        <w:tc>
          <w:tcPr>
            <w:tcW w:type="dxa" w:w="85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JPIM</w:t>
            </w:r>
          </w:p>
        </w:tc>
        <w:tc>
          <w:tcPr>
            <w:tcW w:type="dxa" w:w="16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Organizational resilience; behavioral theory of the firm</w:t>
            </w:r>
          </w:p>
        </w:tc>
        <w:tc>
          <w:tcPr>
            <w:tcW w:type="dxa" w:w="15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994 S&amp;P-1500-Firmen, GFC</w:t>
            </w:r>
          </w:p>
        </w:tc>
        <w:tc>
          <w:tcPr>
            <w:tcW w:type="dxa" w:w="218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Konkurrierende Erwartungen (Ressourcen schonen vs. in Innovation investieren)</w:t>
            </w:r>
          </w:p>
        </w:tc>
        <w:tc>
          <w:tcPr>
            <w:tcW w:type="dxa" w:w="8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3</w:t>
            </w:r>
          </w:p>
        </w:tc>
      </w:tr>
    </w:tbl>
    <w:p>
      <w:pPr>
        <w:spacing w:after="120"/>
      </w:pPr>
    </w:p>
    <w:p>
      <w:pPr>
        <w:pStyle w:val="Heading2"/>
        <w:pageBreakBefore/>
      </w:pPr>
      <w:r>
        <w:t xml:space="preserve">8.1  Wo welche Technik zu finden 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538"/>
      </w:tblGrid>
      <w:tr>
        <w:trPr>
          <w:tblHeader/>
        </w:trPr>
        <w:tc>
          <w:tcPr>
            <w:tcW w:type="dxa" w:w="30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Technik</w:t>
            </w:r>
          </w:p>
        </w:tc>
        <w:tc>
          <w:tcPr>
            <w:tcW w:type="dxa" w:w="11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Abschnitt</w:t>
            </w:r>
          </w:p>
        </w:tc>
        <w:tc>
          <w:tcPr>
            <w:tcW w:type="dxa" w:w="5538"/>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Beste Exemplare</w:t>
            </w:r>
          </w:p>
        </w:tc>
      </w:tr>
      <w:tr>
        <w:tc>
          <w:tcPr>
            <w:tcW w:type="dxa" w:w="30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Einstieg: das Bekannte</w:t>
            </w:r>
          </w:p>
        </w:tc>
        <w:tc>
          <w:tcPr>
            <w:tcW w:type="dxa" w:w="11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3.1</w:t>
            </w:r>
          </w:p>
        </w:tc>
        <w:tc>
          <w:tcPr>
            <w:tcW w:type="dxa" w:w="55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Engelen et al. 2026; Osses et al. 2024; Engelen et al. 2023; Haeberle et al. 2026</w:t>
            </w:r>
          </w:p>
        </w:tc>
      </w:tr>
      <w:tr>
        <w:tc>
          <w:tcPr>
            <w:tcW w:type="dxa" w:w="30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Lücke/Spannung</w:t>
            </w:r>
          </w:p>
        </w:tc>
        <w:tc>
          <w:tcPr>
            <w:tcW w:type="dxa" w:w="11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3.2</w:t>
            </w:r>
          </w:p>
        </w:tc>
        <w:tc>
          <w:tcPr>
            <w:tcW w:type="dxa" w:w="55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Engelen et al. 2026 (Goldstandard); Osses et al. 2024; Lang et al. 2025</w:t>
            </w:r>
          </w:p>
        </w:tc>
      </w:tr>
      <w:tr>
        <w:tc>
          <w:tcPr>
            <w:tcW w:type="dxa" w:w="30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Kontext verändert Theorie</w:t>
            </w:r>
          </w:p>
        </w:tc>
        <w:tc>
          <w:tcPr>
            <w:tcW w:type="dxa" w:w="11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3.3</w:t>
            </w:r>
          </w:p>
        </w:tc>
        <w:tc>
          <w:tcPr>
            <w:tcW w:type="dxa" w:w="55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Haeberle et al. 2026 (Modellantwort); Lang et al. 2025</w:t>
            </w:r>
          </w:p>
        </w:tc>
      </w:tr>
      <w:tr>
        <w:tc>
          <w:tcPr>
            <w:tcW w:type="dxa" w:w="30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Relevanz</w:t>
            </w:r>
          </w:p>
        </w:tc>
        <w:tc>
          <w:tcPr>
            <w:tcW w:type="dxa" w:w="11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3.4</w:t>
            </w:r>
          </w:p>
        </w:tc>
        <w:tc>
          <w:tcPr>
            <w:tcW w:type="dxa" w:w="55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Engelen et al. 2026 (Zwei-Perspektiven-Absatz); Lang et al. 2025</w:t>
            </w:r>
          </w:p>
        </w:tc>
      </w:tr>
      <w:tr>
        <w:tc>
          <w:tcPr>
            <w:tcW w:type="dxa" w:w="30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Übergang zur Forschungsfrage</w:t>
            </w:r>
          </w:p>
        </w:tc>
        <w:tc>
          <w:tcPr>
            <w:tcW w:type="dxa" w:w="11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3.5</w:t>
            </w:r>
          </w:p>
        </w:tc>
        <w:tc>
          <w:tcPr>
            <w:tcW w:type="dxa" w:w="55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Brandenburg et al. 2026; Lang et al. 2025; Haeberle et al. 2026</w:t>
            </w:r>
          </w:p>
        </w:tc>
      </w:tr>
      <w:tr>
        <w:tc>
          <w:tcPr>
            <w:tcW w:type="dxa" w:w="30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Zentrales Argument / Modell</w:t>
            </w:r>
          </w:p>
        </w:tc>
        <w:tc>
          <w:tcPr>
            <w:tcW w:type="dxa" w:w="11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3.6</w:t>
            </w:r>
          </w:p>
        </w:tc>
        <w:tc>
          <w:tcPr>
            <w:tcW w:type="dxa" w:w="55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Brandenburg et al. 2026; Engelen et al. 2026; Rieger et al. 2024</w:t>
            </w:r>
          </w:p>
        </w:tc>
      </w:tr>
      <w:tr>
        <w:tc>
          <w:tcPr>
            <w:tcW w:type="dxa" w:w="30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Konfigurationale Begründung</w:t>
            </w:r>
          </w:p>
        </w:tc>
        <w:tc>
          <w:tcPr>
            <w:tcW w:type="dxa" w:w="11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3.7</w:t>
            </w:r>
          </w:p>
        </w:tc>
        <w:tc>
          <w:tcPr>
            <w:tcW w:type="dxa" w:w="55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Lang et al. 2025; von Nitzsch et al. 2026</w:t>
            </w:r>
          </w:p>
        </w:tc>
      </w:tr>
      <w:tr>
        <w:tc>
          <w:tcPr>
            <w:tcW w:type="dxa" w:w="30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Empirische Vorschau</w:t>
            </w:r>
          </w:p>
        </w:tc>
        <w:tc>
          <w:tcPr>
            <w:tcW w:type="dxa" w:w="11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3.8</w:t>
            </w:r>
          </w:p>
        </w:tc>
        <w:tc>
          <w:tcPr>
            <w:tcW w:type="dxa" w:w="55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Brandenburg et al. 2026 (ein Satz); Rieger et al. 2024 (Obergrenze)</w:t>
            </w:r>
          </w:p>
        </w:tc>
      </w:tr>
      <w:tr>
        <w:tc>
          <w:tcPr>
            <w:tcW w:type="dxa" w:w="30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Beitragsrahmung</w:t>
            </w:r>
          </w:p>
        </w:tc>
        <w:tc>
          <w:tcPr>
            <w:tcW w:type="dxa" w:w="11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3.9</w:t>
            </w:r>
          </w:p>
        </w:tc>
        <w:tc>
          <w:tcPr>
            <w:tcW w:type="dxa" w:w="55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Engelen et al. 2026; Lang et al. 2025 (Rückbeitrag zur Theorie)</w:t>
            </w:r>
          </w:p>
        </w:tc>
      </w:tr>
      <w:tr>
        <w:tc>
          <w:tcPr>
            <w:tcW w:type="dxa" w:w="30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Praxisbeispiele</w:t>
            </w:r>
          </w:p>
        </w:tc>
        <w:tc>
          <w:tcPr>
            <w:tcW w:type="dxa" w:w="11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3.10</w:t>
            </w:r>
          </w:p>
        </w:tc>
        <w:tc>
          <w:tcPr>
            <w:tcW w:type="dxa" w:w="55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Engelen et al. 2026 (Ayar Labs); Rieger et al. 2024</w:t>
            </w:r>
          </w:p>
        </w:tc>
      </w:tr>
    </w:tbl>
    <w:p>
      <w:pPr>
        <w:spacing w:after="120"/>
      </w:pPr>
    </w:p>
    <w:p>
      <w:pPr>
        <w:pStyle w:val="Heading1"/>
        <w:pageBreakBefore/>
      </w:pPr>
      <w:r>
        <w:t xml:space="preserve">9  Checkliste für die fertige Introduction</w:t>
      </w:r>
    </w:p>
    <w:p>
      <w:pPr>
        <w:spacing w:after="120"/>
      </w:pPr>
      <w:r>
        <w:t xml:space="preserve">Eine Introduction auf Lehrstuhl-Niveau erfüllt alle folgenden Punkte.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4E9A5B" w:sz="4"/>
              <w:left w:val="single" w:color="4E9A5B" w:sz="24"/>
              <w:bottom w:val="single" w:color="4E9A5B" w:sz="4"/>
              <w:right w:val="single" w:color="4E9A5B" w:sz="4"/>
            </w:tcBorders>
            <w:shd w:fill="EAF5EC" w:color="auto" w:val="clear"/>
            <w:tcMar>
              <w:top w:type="dxa" w:w="100"/>
              <w:left w:type="dxa" w:w="180"/>
              <w:bottom w:type="dxa" w:w="60"/>
              <w:right w:type="dxa" w:w="180"/>
            </w:tcMar>
          </w:tcPr>
          <w:p>
            <w:pPr>
              <w:spacing w:after="60"/>
            </w:pPr>
            <w:r>
              <w:rPr>
                <w:b/>
                <w:bCs/>
                <w:color w:val="4E9A5B"/>
              </w:rPr>
              <w:t xml:space="preserve">Der Schlusstest:  </w:t>
            </w:r>
            <w:r>
              <w:t xml:space="preserve">Nach dem Lesen der Introduction muss jeder Leser sagen können: Was wissen wir, was wissen wir nicht, warum ist das ein Problem für die Theorie, was fragt die Studie, was argumentiert sie – und was verstehen wir danach anders als vorher?</w:t>
            </w:r>
          </w:p>
        </w:tc>
      </w:tr>
    </w:tbl>
    <w:p>
      <w:pPr>
        <w:spacing w:after="80"/>
      </w:pPr>
    </w:p>
    <w:p>
      <w:pPr>
        <w:pStyle w:val="Heading2"/>
      </w:pPr>
      <w:r>
        <w:t xml:space="preserve">Das intellektuelle Problem</w:t>
      </w:r>
    </w:p>
    <w:p>
      <w:pPr>
        <w:pStyle w:val="ListParagraph"/>
        <w:numPr>
          <w:ilvl w:val="0"/>
          <w:numId w:val="9"/>
        </w:numPr>
        <w:spacing w:after="30" w:line="264"/>
      </w:pPr>
      <w:r>
        <w:t xml:space="preserve">Die fokale Theorie ist im ersten oder zweiten Absatz genannt.</w:t>
      </w:r>
    </w:p>
    <w:p>
      <w:pPr>
        <w:pStyle w:val="ListParagraph"/>
        <w:numPr>
          <w:ilvl w:val="0"/>
          <w:numId w:val="9"/>
        </w:numPr>
        <w:spacing w:after="30" w:line="264"/>
      </w:pPr>
      <w:r>
        <w:t xml:space="preserve">Die Lücke beruht auf einer Spannung, einem ungelösten Mechanismus, einer problematischen Annahme, einer Randbedingung, einer unvollständigen Konzeptualisierung oder einem empirischen Rätsel – nicht auf „little research/overlooked/first/understudied“.</w:t>
      </w:r>
    </w:p>
    <w:p>
      <w:pPr>
        <w:pStyle w:val="ListParagraph"/>
        <w:numPr>
          <w:ilvl w:val="0"/>
          <w:numId w:val="9"/>
        </w:numPr>
        <w:spacing w:after="30" w:line="264"/>
      </w:pPr>
      <w:r>
        <w:t xml:space="preserve">Es ist erklärt, warum die Lücke </w:t>
      </w:r>
      <w:r>
        <w:rPr>
          <w:b/>
          <w:bCs/>
        </w:rPr>
        <w:t xml:space="preserve">theoretisch</w:t>
      </w:r>
      <w:r>
        <w:t xml:space="preserve"> wichtig ist (was bestehende Theorie sonst nicht erklären kann).</w:t>
      </w:r>
    </w:p>
    <w:p>
      <w:pPr>
        <w:pStyle w:val="ListParagraph"/>
        <w:numPr>
          <w:ilvl w:val="0"/>
          <w:numId w:val="9"/>
        </w:numPr>
        <w:spacing w:after="30" w:line="264"/>
      </w:pPr>
      <w:r>
        <w:t xml:space="preserve">Eine explizite Forschungsfrage folgt aus Lücke und Relevanz.</w:t>
      </w:r>
    </w:p>
    <w:p>
      <w:pPr>
        <w:pStyle w:val="ListParagraph"/>
        <w:numPr>
          <w:ilvl w:val="0"/>
          <w:numId w:val="9"/>
        </w:numPr>
        <w:spacing w:after="30" w:line="264"/>
      </w:pPr>
      <w:r>
        <w:t xml:space="preserve">Eine theoretische Kernidee ist erkennbar.</w:t>
      </w:r>
    </w:p>
    <w:p>
      <w:pPr>
        <w:pStyle w:val="Heading2"/>
      </w:pPr>
      <w:r>
        <w:t xml:space="preserve">Argument und Beiträge</w:t>
      </w:r>
    </w:p>
    <w:p>
      <w:pPr>
        <w:pStyle w:val="ListParagraph"/>
        <w:numPr>
          <w:ilvl w:val="0"/>
          <w:numId w:val="9"/>
        </w:numPr>
        <w:spacing w:after="30" w:line="264"/>
      </w:pPr>
      <w:r>
        <w:t xml:space="preserve">Ein neuer Kontext ist dadurch begründet, dass er Mechanismen, Annahmen, Informationsbedingungen, Restriktionen oder Zusammenhänge verändert.</w:t>
      </w:r>
    </w:p>
    <w:p>
      <w:pPr>
        <w:pStyle w:val="ListParagraph"/>
        <w:numPr>
          <w:ilvl w:val="0"/>
          <w:numId w:val="9"/>
        </w:numPr>
        <w:spacing w:after="30" w:line="264"/>
      </w:pPr>
      <w:r>
        <w:t xml:space="preserve">Die Forschungsfrage enthält nur bereits motivierte Konstrukte und verwendet das Vokabular des Lückenabsatzes.</w:t>
      </w:r>
    </w:p>
    <w:p>
      <w:pPr>
        <w:pStyle w:val="ListParagraph"/>
        <w:numPr>
          <w:ilvl w:val="0"/>
          <w:numId w:val="9"/>
        </w:numPr>
        <w:spacing w:after="30" w:line="264"/>
      </w:pPr>
      <w:r>
        <w:t xml:space="preserve">Das zentrale Argument ist explizit signalisiert („Our central argument is that…“ o. Ä.) und beantwortet die Forschungsfrage.</w:t>
      </w:r>
    </w:p>
    <w:p>
      <w:pPr>
        <w:pStyle w:val="ListParagraph"/>
        <w:numPr>
          <w:ilvl w:val="0"/>
          <w:numId w:val="9"/>
        </w:numPr>
        <w:spacing w:after="30" w:line="264"/>
      </w:pPr>
      <w:r>
        <w:t xml:space="preserve">Moderatoren erweitern die Kernlogik und sind aus Annahmen der Theorie begründet.</w:t>
      </w:r>
    </w:p>
    <w:p>
      <w:pPr>
        <w:pStyle w:val="ListParagraph"/>
        <w:numPr>
          <w:ilvl w:val="0"/>
          <w:numId w:val="9"/>
        </w:numPr>
        <w:spacing w:after="30" w:line="264"/>
      </w:pPr>
      <w:r>
        <w:t xml:space="preserve">Bei fsQCA/csQCA: Die Methodenwahl ist theoretisch begründet (Abhängigkeit, irreführende Nettoeffekte, Äquifinalität), nicht nur mit Heterogenität.</w:t>
      </w:r>
    </w:p>
    <w:p>
      <w:pPr>
        <w:pStyle w:val="ListParagraph"/>
        <w:numPr>
          <w:ilvl w:val="0"/>
          <w:numId w:val="9"/>
        </w:numPr>
        <w:spacing w:after="30" w:line="264"/>
      </w:pPr>
      <w:r>
        <w:t xml:space="preserve">Lücke – Forschungsfrage – Theorie – Beiträge passen zueinander.</w:t>
      </w:r>
    </w:p>
    <w:p>
      <w:pPr>
        <w:pStyle w:val="ListParagraph"/>
        <w:numPr>
          <w:ilvl w:val="0"/>
          <w:numId w:val="9"/>
        </w:numPr>
        <w:spacing w:after="30" w:line="264"/>
      </w:pPr>
      <w:r>
        <w:t xml:space="preserve">Die empirische Vorschau umfasst einen kurzen Absatz (3–5 Sätze), ohne Ergebnis- oder Methodendetails.</w:t>
      </w:r>
    </w:p>
    <w:p>
      <w:pPr>
        <w:pStyle w:val="ListParagraph"/>
        <w:numPr>
          <w:ilvl w:val="0"/>
          <w:numId w:val="9"/>
        </w:numPr>
        <w:spacing w:after="30" w:line="264"/>
      </w:pPr>
      <w:r>
        <w:t xml:space="preserve">Jeder Beitrag folgt der Logik Vorliteratur → Grenze → unsere Studie → theoretischer Ertrag.</w:t>
      </w:r>
    </w:p>
    <w:p>
      <w:pPr>
        <w:pStyle w:val="ListParagraph"/>
        <w:numPr>
          <w:ilvl w:val="0"/>
          <w:numId w:val="9"/>
        </w:numPr>
        <w:spacing w:after="30" w:line="264"/>
      </w:pPr>
      <w:r>
        <w:t xml:space="preserve">Kein Beitrag lautet generisch „we contribute by examining X“.</w:t>
      </w:r>
    </w:p>
    <w:p>
      <w:pPr>
        <w:pStyle w:val="ListParagraph"/>
        <w:numPr>
          <w:ilvl w:val="0"/>
          <w:numId w:val="9"/>
        </w:numPr>
        <w:spacing w:after="30" w:line="264"/>
      </w:pPr>
      <w:r>
        <w:t xml:space="preserve">Die Beiträge sind klar voneinander unterscheidbar; kein dritter Beitrag ist künstlich erzeugt.</w:t>
      </w:r>
    </w:p>
    <w:p>
      <w:pPr>
        <w:pStyle w:val="Heading2"/>
      </w:pPr>
      <w:r>
        <w:t xml:space="preserve">Form und Stil</w:t>
      </w:r>
    </w:p>
    <w:p>
      <w:pPr>
        <w:pStyle w:val="ListParagraph"/>
        <w:numPr>
          <w:ilvl w:val="0"/>
          <w:numId w:val="9"/>
        </w:numPr>
        <w:spacing w:after="30" w:line="264"/>
      </w:pPr>
      <w:r>
        <w:t xml:space="preserve">Die Introduction umfasst höchstens vier Seiten (TNR 12 pt, doppelter Zeilenabstand), eher 3–4.</w:t>
      </w:r>
    </w:p>
    <w:p>
      <w:pPr>
        <w:pStyle w:val="ListParagraph"/>
        <w:numPr>
          <w:ilvl w:val="0"/>
          <w:numId w:val="9"/>
        </w:numPr>
        <w:spacing w:after="30" w:line="264"/>
      </w:pPr>
      <w:r>
        <w:t xml:space="preserve">Beiträge nehmen etwa ¼ bis ⅓ der Introduction ein.</w:t>
      </w:r>
    </w:p>
    <w:p>
      <w:pPr>
        <w:pStyle w:val="ListParagraph"/>
        <w:numPr>
          <w:ilvl w:val="0"/>
          <w:numId w:val="9"/>
        </w:numPr>
        <w:spacing w:after="30" w:line="264"/>
      </w:pPr>
      <w:r>
        <w:t xml:space="preserve">Mindestens ein Beitrag wirkt in die verwendete Theorie zurück.</w:t>
      </w:r>
    </w:p>
    <w:p>
      <w:pPr>
        <w:pStyle w:val="ListParagraph"/>
        <w:numPr>
          <w:ilvl w:val="0"/>
          <w:numId w:val="9"/>
        </w:numPr>
        <w:spacing w:after="30" w:line="264"/>
      </w:pPr>
      <w:r>
        <w:t xml:space="preserve">Höchstens ein reales Unternehmensbeispiel, und es erfüllt eine argumentative Funktion.</w:t>
      </w:r>
    </w:p>
    <w:p>
      <w:pPr>
        <w:pStyle w:val="ListParagraph"/>
        <w:numPr>
          <w:ilvl w:val="0"/>
          <w:numId w:val="9"/>
        </w:numPr>
        <w:spacing w:after="30" w:line="264"/>
      </w:pPr>
      <w:r>
        <w:t xml:space="preserve">Die Sätze sind kurz, klar und aktiv; kein unnötiger Jargon, keine überzogenen Behauptungen, kein repetitives Signposting.</w:t>
      </w:r>
    </w:p>
    <w:p>
      <w:pPr>
        <w:pStyle w:val="ListParagraph"/>
        <w:numPr>
          <w:ilvl w:val="0"/>
          <w:numId w:val="9"/>
        </w:numPr>
        <w:spacing w:after="30" w:line="264"/>
      </w:pPr>
      <w:r>
        <w:t xml:space="preserve">Übergänge zwischen den Absätzen tragen das Argument.</w:t>
      </w:r>
    </w:p>
    <w:p>
      <w:pPr>
        <w:pStyle w:val="ListParagraph"/>
        <w:numPr>
          <w:ilvl w:val="0"/>
          <w:numId w:val="9"/>
        </w:numPr>
        <w:spacing w:after="30" w:line="264"/>
      </w:pPr>
      <w:r>
        <w:t xml:space="preserve">Alle Referenzen, Befunde und Behauptungen sind geprüft; nichts ist erfunden oder aus einem Exemplar übernommen.</w:t>
      </w:r>
    </w:p>
    <w:sectPr>
      <w:headerReference w:type="default" r:id="rId7"/>
      <w:headerReference w:type="first" r:id="rId8"/>
      <w:footerReference w:type="default" r:id="rId9"/>
      <w:footerReference w:type="first" r:id="rId10"/>
      <w:pgSz w:w="11906" w:h="16838" w:orient="portrait"/>
      <w:pgMar w:top="1247" w:right="1134" w:bottom="1247"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27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270"/>
        <w:sz w:val="16"/>
        <w:szCs w:val="16"/>
      </w:rPr>
      <w:t xml:space="preserve">Die Introduction schreiben – Lehrstuhl-Manual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bullet"/>
      <w:lvlText w:val="☐"/>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abstractNum w:abstractNumId="6" w15:restartNumberingAfterBreak="0">
    <w:multiLevelType w:val="hybridMultilevel"/>
    <w:lvl w:ilvl="0" w15:tentative="1">
      <w:start w:val="1"/>
      <w:numFmt w:val="decimal"/>
      <w:lvlText w:val="%1."/>
      <w:lvlJc w:val="left"/>
      <w:pPr>
        <w:ind w:left="567" w:hanging="340"/>
      </w:pPr>
    </w:lvl>
  </w:abstractNum>
  <w:abstractNum w:abstractNumId="7" w15:restartNumberingAfterBreak="0">
    <w:multiLevelType w:val="hybridMultilevel"/>
    <w:lvl w:ilvl="0" w15:tentative="1">
      <w:start w:val="1"/>
      <w:numFmt w:val="decimal"/>
      <w:lvlText w:val="%1."/>
      <w:lvlJc w:val="left"/>
      <w:pPr>
        <w:ind w:left="567" w:hanging="340"/>
      </w:pPr>
    </w:lvl>
  </w:abstractNum>
  <w:abstractNum w:abstractNumId="8" w15:restartNumberingAfterBreak="0">
    <w:multiLevelType w:val="hybridMultilevel"/>
    <w:lvl w:ilvl="0" w15:tentative="1">
      <w:start w:val="1"/>
      <w:numFmt w:val="decimal"/>
      <w:lvlText w:val="%1."/>
      <w:lvlJc w:val="left"/>
      <w:pPr>
        <w:ind w:left="567" w:hanging="340"/>
      </w:pPr>
    </w:lvl>
  </w:abstractNum>
  <w:abstractNum w:abstractNumId="9"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DA4" w:sz="8" w:space="6"/>
      </w:pBdr>
      <w:spacing w:after="240" w:before="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40" w:before="320"/>
      <w:outlineLvl w:val="1"/>
    </w:pPr>
    <w:rPr>
      <w:rFonts w:ascii="Calibri" w:cs="Calibri" w:eastAsia="Calibri" w:hAnsi="Calibri"/>
      <w:b/>
      <w:bCs/>
      <w:color w:val="2E6DA4"/>
      <w:sz w:val="27"/>
      <w:szCs w:val="27"/>
    </w:rPr>
  </w:style>
  <w:style w:type="paragraph" w:styleId="Heading3">
    <w:name w:val="Heading 3"/>
    <w:basedOn w:val="Normal"/>
    <w:next w:val="Normal"/>
    <w:qFormat/>
    <w:pPr>
      <w:keepNext/>
      <w:spacing w:after="80" w:before="22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Introduction schreiben – Lehrstuhl-Manual</dc:title>
  <dc:creator>Lehrstuhl</dc:creator>
  <cp:lastModifiedBy>Un-named</cp:lastModifiedBy>
  <cp:revision>1</cp:revision>
  <dcterms:created xsi:type="dcterms:W3CDTF">2026-09-27T09:43:35.491Z</dcterms:created>
  <dcterms:modified xsi:type="dcterms:W3CDTF">2026-09-27T09:43:35.492Z</dcterms:modified>
</cp:coreProperties>
</file>

<file path=docProps/custom.xml><?xml version="1.0" encoding="utf-8"?>
<Properties xmlns="http://schemas.openxmlformats.org/officeDocument/2006/custom-properties" xmlns:vt="http://schemas.openxmlformats.org/officeDocument/2006/docPropsVTypes"/>
</file>