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b/>
          <w:bCs/>
          <w:color w:val="2E6DA4"/>
          <w:spacing w:val="60"/>
          <w:sz w:val="24"/>
          <w:szCs w:val="24"/>
        </w:rPr>
        <w:t xml:space="preserve">LEHRSTUHL-MANUAL</w:t>
      </w:r>
    </w:p>
    <w:p>
      <w:pPr>
        <w:spacing w:after="160"/>
      </w:pPr>
      <w:r>
        <w:rPr>
          <w:b/>
          <w:bCs/>
          <w:color w:val="1F3A5F"/>
          <w:sz w:val="60"/>
          <w:szCs w:val="60"/>
        </w:rPr>
        <w:t xml:space="preserve">Den Methodenteil schreiben</w:t>
      </w:r>
    </w:p>
    <w:p>
      <w:pPr>
        <w:pBdr>
          <w:bottom w:val="single" w:color="2E6DA4" w:sz="12" w:space="12"/>
        </w:pBdr>
        <w:spacing w:after="600"/>
      </w:pPr>
      <w:r>
        <w:rPr>
          <w:color w:val="5A6270"/>
          <w:sz w:val="28"/>
          <w:szCs w:val="28"/>
        </w:rPr>
        <w:t xml:space="preserve">Standard, Werkzeuge und Exemplare für empirische Paper in Management, Innovation, Entrepreneurship und Strategie</w:t>
      </w:r>
    </w:p>
    <w:p>
      <w:pPr>
        <w:spacing w:after="200"/>
      </w:pPr>
      <w:r>
        <w:rPr>
          <w:color w:val="333333"/>
          <w:sz w:val="22"/>
          <w:szCs w:val="22"/>
        </w:rPr>
        <w:t xml:space="preserve">Dieses Manual beschreibt, was einen gelungenen Methodenteil ausmacht: die fünf Lehrstuhl-Regeln, die Anforderungen an Stichprobe, Messung, Kontrollvariablen und Schätzverfahren, Schlankheit und Länge, Selbsttests sowie eine kommentierte Bibliothek mit Originalpassagen aus acht publizierten Lehrstuhl-Papern.</w:t>
      </w:r>
    </w:p>
    <w:p>
      <w:pPr>
        <w:spacing w:after="60"/>
      </w:pPr>
      <w:r>
        <w:rPr>
          <w:color w:val="5A6270"/>
          <w:sz w:val="20"/>
          <w:szCs w:val="20"/>
        </w:rPr>
        <w:t xml:space="preserve">Zielgruppe: Doktoranden des Lehrstuhls</w:t>
      </w:r>
    </w:p>
    <w:p>
      <w:r>
        <w:rPr>
          <w:color w:val="5A6270"/>
          <w:sz w:val="20"/>
          <w:szCs w:val="20"/>
        </w:rPr>
        <w:t xml:space="preserve">Stand: September 2026</w:t>
      </w:r>
    </w:p>
    <w:p>
      <w:r>
        <w:br w:type="page"/>
      </w:r>
    </w:p>
    <w:p>
      <w:pPr>
        <w:spacing w:after="240"/>
      </w:pPr>
      <w:r>
        <w:rPr>
          <w:b/>
          <w:bCs/>
          <w:color w:val="1F3A5F"/>
          <w:sz w:val="36"/>
          <w:szCs w:val="36"/>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ageBreakBefore/>
      </w:pPr>
      <w:r>
        <w:t xml:space="preserve">1  Worum es geht</w:t>
      </w:r>
    </w:p>
    <w:p>
      <w:pPr>
        <w:spacing w:after="120"/>
      </w:pPr>
      <w:r>
        <w:t xml:space="preserve">Ein starker Methodenteil lässt den Leser </w:t>
      </w:r>
      <w:r>
        <w:rPr>
          <w:b/>
          <w:bCs/>
        </w:rPr>
        <w:t xml:space="preserve">genau rekonstruieren, was gemacht wurde und warum – in so wenigen Worten wie möglich.</w:t>
      </w:r>
      <w:r>
        <w:t xml:space="preserve"> Nach dem Lesen muss klar sein, woher jedes N stammt, was jede Variable ist und wer sie vorher verwendet hat, warum jede Kontrollvariable im Modell ist – und nichts wurde zweimal gesagt.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Leitziel:  </w:t>
            </w:r>
            <w:r>
              <w:t xml:space="preserve">Rekonstruierbarkeit und Knappheit sind keine Gegensätze. Ein Methodenteil wird nicht durch mehr Text nachvollziehbarer, sondern durch vollständige Schritte, klare Quellen und Begründungen im selben Satz wie die Entscheidung.</w:t>
            </w:r>
          </w:p>
        </w:tc>
      </w:tr>
    </w:tbl>
    <w:p>
      <w:pPr>
        <w:spacing w:after="80"/>
      </w:pPr>
    </w:p>
    <w:p>
      <w:pPr>
        <w:pStyle w:val="Heading2"/>
      </w:pPr>
      <w:r>
        <w:t xml:space="preserve">1.1  Wie dieses Manual aufgebaut ist</w:t>
      </w:r>
    </w:p>
    <w:p>
      <w:pPr>
        <w:pStyle w:val="ListParagraph"/>
        <w:numPr>
          <w:ilvl w:val="0"/>
          <w:numId w:val="2"/>
        </w:numPr>
        <w:spacing w:after="60"/>
      </w:pPr>
      <w:r>
        <w:rPr>
          <w:b/>
          <w:bCs/>
        </w:rPr>
        <w:t xml:space="preserve">Kapitel 2:</w:t>
      </w:r>
      <w:r>
        <w:t xml:space="preserve"> die fünf Lehrstuhl-Regeln, der Standardaufbau und was am meisten zählt.</w:t>
      </w:r>
    </w:p>
    <w:p>
      <w:pPr>
        <w:pStyle w:val="ListParagraph"/>
        <w:numPr>
          <w:ilvl w:val="0"/>
          <w:numId w:val="2"/>
        </w:numPr>
        <w:spacing w:after="60"/>
      </w:pPr>
      <w:r>
        <w:rPr>
          <w:b/>
          <w:bCs/>
        </w:rPr>
        <w:t xml:space="preserve">Kapitel 3–7:</w:t>
      </w:r>
      <w:r>
        <w:t xml:space="preserve"> jeder Baustein im Detail – Stichprobe, Messung, Kontrollvariablen, Schätzverfahren, Interviews und fsQCA –, jeweils mit Anforderungen und Lehrstuhl-Exemplaren.</w:t>
      </w:r>
    </w:p>
    <w:p>
      <w:pPr>
        <w:pStyle w:val="ListParagraph"/>
        <w:numPr>
          <w:ilvl w:val="0"/>
          <w:numId w:val="2"/>
        </w:numPr>
        <w:spacing w:after="60"/>
      </w:pPr>
      <w:r>
        <w:rPr>
          <w:b/>
          <w:bCs/>
        </w:rPr>
        <w:t xml:space="preserve">Kapitel 8–9:</w:t>
      </w:r>
      <w:r>
        <w:t xml:space="preserve"> Schlankheit, Länge und Proportionen.</w:t>
      </w:r>
    </w:p>
    <w:p>
      <w:pPr>
        <w:pStyle w:val="ListParagraph"/>
        <w:numPr>
          <w:ilvl w:val="0"/>
          <w:numId w:val="2"/>
        </w:numPr>
        <w:spacing w:after="60"/>
      </w:pPr>
      <w:r>
        <w:rPr>
          <w:b/>
          <w:bCs/>
        </w:rPr>
        <w:t xml:space="preserve">Kapitel 10–11:</w:t>
      </w:r>
      <w:r>
        <w:t xml:space="preserve"> typische Schwächen, Sprache und wissenschaftliche Redlichkeit.</w:t>
      </w:r>
    </w:p>
    <w:p>
      <w:pPr>
        <w:pStyle w:val="ListParagraph"/>
        <w:numPr>
          <w:ilvl w:val="0"/>
          <w:numId w:val="2"/>
        </w:numPr>
        <w:spacing w:after="60"/>
      </w:pPr>
      <w:r>
        <w:rPr>
          <w:b/>
          <w:bCs/>
        </w:rPr>
        <w:t xml:space="preserve">Kapitel 12:</w:t>
      </w:r>
      <w:r>
        <w:t xml:space="preserve"> Selbsttests, die ein fertiger Methodenteil bestehen muss.</w:t>
      </w:r>
    </w:p>
    <w:p>
      <w:pPr>
        <w:pStyle w:val="ListParagraph"/>
        <w:numPr>
          <w:ilvl w:val="0"/>
          <w:numId w:val="2"/>
        </w:numPr>
        <w:spacing w:after="60"/>
      </w:pPr>
      <w:r>
        <w:rPr>
          <w:b/>
          <w:bCs/>
        </w:rPr>
        <w:t xml:space="preserve">Kapitel 13–14:</w:t>
      </w:r>
      <w:r>
        <w:t xml:space="preserve"> die Signature Moves des Lehrstuhls und die Übersicht der Exemplar-Paper.</w:t>
      </w:r>
    </w:p>
    <w:p>
      <w:pPr>
        <w:pStyle w:val="ListParagraph"/>
        <w:numPr>
          <w:ilvl w:val="0"/>
          <w:numId w:val="2"/>
        </w:numPr>
        <w:spacing w:after="60"/>
      </w:pPr>
      <w:r>
        <w:rPr>
          <w:b/>
          <w:bCs/>
        </w:rPr>
        <w:t xml:space="preserve">Kapitel 15:</w:t>
      </w:r>
      <w:r>
        <w:t xml:space="preserve"> eine Checkliste für den fertigen Methodenteil.</w:t>
      </w:r>
    </w:p>
    <w:p>
      <w:pPr>
        <w:pStyle w:val="Heading2"/>
      </w:pPr>
      <w:r>
        <w:t xml:space="preserve">1.2  Was zum Methodenteil gehört – und was nicht</w:t>
      </w:r>
    </w:p>
    <w:p>
      <w:pPr>
        <w:spacing w:after="120"/>
      </w:pPr>
      <w:r>
        <w:t xml:space="preserve">Der Methodenteil ist der Teil des Papers </w:t>
      </w:r>
      <w:r>
        <w:rPr>
          <w:b/>
          <w:bCs/>
        </w:rPr>
        <w:t xml:space="preserve">zwischen Theorie/Hypothesen und Ergebnissen</w:t>
      </w:r>
      <w:r>
        <w:t xml:space="preserve">. Er umfasst:</w:t>
      </w:r>
    </w:p>
    <w:p>
      <w:pPr>
        <w:pStyle w:val="ListParagraph"/>
        <w:numPr>
          <w:ilvl w:val="0"/>
          <w:numId w:val="2"/>
        </w:numPr>
        <w:spacing w:after="60"/>
      </w:pPr>
      <w:r>
        <w:t xml:space="preserve">die </w:t>
      </w:r>
      <w:r>
        <w:rPr>
          <w:b/>
          <w:bCs/>
        </w:rPr>
        <w:t xml:space="preserve">Stichprobe</w:t>
      </w:r>
      <w:r>
        <w:t xml:space="preserve"> (Datenquellen, Sampling Frame, schrittweise Stichprobenbildung, finales N, Beobachtungszeitraum, Panelstruktur);</w:t>
      </w:r>
    </w:p>
    <w:p>
      <w:pPr>
        <w:pStyle w:val="ListParagraph"/>
        <w:numPr>
          <w:ilvl w:val="0"/>
          <w:numId w:val="2"/>
        </w:numPr>
        <w:spacing w:after="60"/>
      </w:pPr>
      <w:r>
        <w:t xml:space="preserve">die </w:t>
      </w:r>
      <w:r>
        <w:rPr>
          <w:b/>
          <w:bCs/>
        </w:rPr>
        <w:t xml:space="preserve">Messung</w:t>
      </w:r>
      <w:r>
        <w:t xml:space="preserve"> der abhängigen, unabhängigen, moderierenden und mediierenden Variablen;</w:t>
      </w:r>
    </w:p>
    <w:p>
      <w:pPr>
        <w:pStyle w:val="ListParagraph"/>
        <w:numPr>
          <w:ilvl w:val="0"/>
          <w:numId w:val="2"/>
        </w:numPr>
        <w:spacing w:after="60"/>
      </w:pPr>
      <w:r>
        <w:t xml:space="preserve">die </w:t>
      </w:r>
      <w:r>
        <w:rPr>
          <w:b/>
          <w:bCs/>
        </w:rPr>
        <w:t xml:space="preserve">Kontrollvariablen</w:t>
      </w:r>
      <w:r>
        <w:t xml:space="preserve">;</w:t>
      </w:r>
    </w:p>
    <w:p>
      <w:pPr>
        <w:pStyle w:val="ListParagraph"/>
        <w:numPr>
          <w:ilvl w:val="0"/>
          <w:numId w:val="2"/>
        </w:numPr>
        <w:spacing w:after="60"/>
      </w:pPr>
      <w:r>
        <w:t xml:space="preserve">das </w:t>
      </w:r>
      <w:r>
        <w:rPr>
          <w:b/>
          <w:bCs/>
        </w:rPr>
        <w:t xml:space="preserve">Schätzverfahren</w:t>
      </w:r>
      <w:r>
        <w:t xml:space="preserve"> (Modellwahl, Standardfehler, Lags/Leads);</w:t>
      </w:r>
    </w:p>
    <w:p>
      <w:pPr>
        <w:pStyle w:val="ListParagraph"/>
        <w:numPr>
          <w:ilvl w:val="0"/>
          <w:numId w:val="2"/>
        </w:numPr>
        <w:spacing w:after="60"/>
      </w:pPr>
      <w:r>
        <w:t xml:space="preserve">wo zutreffend: Validierung von Maßen, ergänzende Interviews, konfigurationale Methoden (fsQCA-Kalibrierung).</w:t>
      </w:r>
    </w:p>
    <w:p>
      <w:pPr>
        <w:spacing w:after="120"/>
      </w:pPr>
      <w:r>
        <w:rPr>
          <w:b/>
          <w:bCs/>
        </w:rPr>
        <w:t xml:space="preserve">Nicht</w:t>
      </w:r>
      <w:r>
        <w:t xml:space="preserve"> dazu gehören Ergebnisse, die Interpretation von Koeffizienten und die Diskussion.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DA4" w:sz="4"/>
              <w:left w:val="single" w:color="2E6DA4" w:sz="24"/>
              <w:bottom w:val="single" w:color="2E6DA4" w:sz="4"/>
              <w:right w:val="single" w:color="2E6DA4" w:sz="4"/>
            </w:tcBorders>
            <w:shd w:fill="EEF3F8" w:color="auto" w:val="clear"/>
            <w:tcMar>
              <w:top w:type="dxa" w:w="100"/>
              <w:left w:type="dxa" w:w="180"/>
              <w:bottom w:type="dxa" w:w="60"/>
              <w:right w:type="dxa" w:w="180"/>
            </w:tcMar>
          </w:tcPr>
          <w:p>
            <w:pPr>
              <w:spacing w:after="60"/>
            </w:pPr>
            <w:r>
              <w:rPr>
                <w:b/>
                <w:bCs/>
                <w:color w:val="2E6DA4"/>
              </w:rPr>
              <w:t xml:space="preserve">Abgrenzung:  </w:t>
            </w:r>
            <w:r>
              <w:rPr>
                <w:b/>
                <w:bCs/>
              </w:rPr>
              <w:t xml:space="preserve">Identifikation und Endogenität</w:t>
            </w:r>
            <w:r>
              <w:t xml:space="preserve"> sind nicht Gegenstand dieses Manuals; dafür hat der Lehrstuhl einen eigenen Skill.</w:t>
            </w:r>
          </w:p>
          <w:p>
            <w:pPr>
              <w:spacing w:after="60"/>
            </w:pPr>
            <w:r>
              <w:t xml:space="preserve">Wenn der Methodenteil Identifikation oder Endogenität anspricht, gelten für diese Passage trotzdem die allgemeinen Regeln dieses Manuals: Klarheit, keine Doppelungen, zitierte Quellen, Konsistenz mit Stichprobe und Maßen.</w:t>
            </w:r>
          </w:p>
        </w:tc>
      </w:tr>
    </w:tbl>
    <w:p>
      <w:pPr>
        <w:spacing w:after="80"/>
      </w:pPr>
    </w:p>
    <w:p>
      <w:pPr>
        <w:pStyle w:val="Heading2"/>
      </w:pPr>
      <w:r>
        <w:t xml:space="preserve">1.3  Rangordnung der Quellen</w:t>
      </w:r>
    </w:p>
    <w:p>
      <w:pPr>
        <w:pStyle w:val="ListParagraph"/>
        <w:numPr>
          <w:ilvl w:val="0"/>
          <w:numId w:val="3"/>
        </w:numPr>
        <w:spacing w:after="60"/>
      </w:pPr>
      <w:r>
        <w:rPr>
          <w:b/>
          <w:bCs/>
        </w:rPr>
        <w:t xml:space="preserve">Der Leitstandard</w:t>
      </w:r>
      <w:r>
        <w:t xml:space="preserve"> (Kapitel 2–11) ist die normative Autorität.</w:t>
      </w:r>
    </w:p>
    <w:p>
      <w:pPr>
        <w:pStyle w:val="ListParagraph"/>
        <w:numPr>
          <w:ilvl w:val="0"/>
          <w:numId w:val="3"/>
        </w:numPr>
        <w:spacing w:after="60"/>
      </w:pPr>
      <w:r>
        <w:rPr>
          <w:b/>
          <w:bCs/>
        </w:rPr>
        <w:t xml:space="preserve">Die Exemplare</w:t>
      </w:r>
      <w:r>
        <w:t xml:space="preserve"> aus publizierten Lehrstuhl-Papern (und weitere, selbst gewählte Exemplare) dienen der Kalibrierung.</w:t>
      </w:r>
    </w:p>
    <w:p>
      <w:pPr>
        <w:spacing w:after="120"/>
      </w:pPr>
      <w:r>
        <w:t xml:space="preserve">Widerspricht ein Exemplar einer expliziten Regel, gilt die Regel. Passagen, die eine Regel verletzen, sind im Manual mit </w:t>
      </w:r>
      <w:r>
        <w:rPr>
          <w:b/>
          <w:bCs/>
        </w:rPr>
        <w:t xml:space="preserve">Achtung</w:t>
      </w:r>
      <w:r>
        <w:t xml:space="preserve"> markiert und zeigen, was besser geht – nicht das Vorbild.</w:t>
      </w:r>
    </w:p>
    <w:p>
      <w:pPr>
        <w:pStyle w:val="Heading2"/>
      </w:pPr>
      <w:r>
        <w:t xml:space="preserve">1.4  Hinweis zu den Zitaten</w:t>
      </w:r>
    </w:p>
    <w:p>
      <w:pPr>
        <w:spacing w:after="120"/>
      </w:pPr>
      <w:r>
        <w:t xml:space="preserve">Alle englischen Zitate stammen wörtlich aus publizierten Lehrstuhl-Papern (Lehrstuhl für BWL, insb. Management, HHU Düsseldorf). Literaturverweise innerhalb der Zitate sind mit „(…)“ gekürzt, wo sie für die Technik nicht nötig sind. Die Zitate zeigen </w:t>
      </w:r>
      <w:r>
        <w:rPr>
          <w:b/>
          <w:bCs/>
        </w:rPr>
        <w:t xml:space="preserve">Techniken</w:t>
      </w:r>
      <w:r>
        <w:t xml:space="preserve">; sie sind keine Textbausteine. Formulierungen für das eigene Manuskript werden immer neu geschrieben.</w:t>
      </w:r>
    </w:p>
    <w:p>
      <w:pPr>
        <w:pStyle w:val="Heading1"/>
        <w:pageBreakBefore/>
      </w:pPr>
      <w:r>
        <w:t xml:space="preserve">2  Die fünf Lehrstuhl-Regeln</w:t>
      </w:r>
    </w:p>
    <w:p>
      <w:pPr>
        <w:spacing w:after="120"/>
      </w:pPr>
      <w:r>
        <w:t xml:space="preserve">Fünf Regeln bestimmen, ob ein Methodenteil dem Lehrstuhl-Standard entspricht: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38"/>
      </w:tblGrid>
      <w:tr>
        <w:trPr>
          <w:tblHeader/>
        </w:trPr>
        <w:tc>
          <w:tcPr>
            <w:tcW w:type="dxa" w:w="5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t>
            </w:r>
          </w:p>
        </w:tc>
        <w:tc>
          <w:tcPr>
            <w:tcW w:type="dxa" w:w="26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Regel</w:t>
            </w:r>
          </w:p>
        </w:tc>
        <w:tc>
          <w:tcPr>
            <w:tcW w:type="dxa" w:w="65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Was sie verlangt</w:t>
            </w:r>
          </w:p>
        </w:tc>
      </w:tr>
      <w:tr>
        <w:tc>
          <w:tcPr>
            <w:tcW w:type="dxa" w:w="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1</w:t>
            </w:r>
          </w:p>
        </w:tc>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20"/>
                <w:szCs w:val="20"/>
              </w:rPr>
              <w:t xml:space="preserve">Stichprobe als Wasserfall</w:t>
            </w:r>
          </w:p>
        </w:tc>
        <w:tc>
          <w:tcPr>
            <w:tcW w:type="dxa" w:w="6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Die Stichprobenbildung wird Schritt für Schritt erklärt. Jeder Schritt nennt, was getan wurde, warum, und das N danach. Jede Reduktion von N wird benannt und begründet – der Weg von der Ausgangspopulation zur finalen Stichprobe ist nachvollziehbar wie ein Wasserfall.</w:t>
            </w:r>
          </w:p>
        </w:tc>
      </w:tr>
      <w:tr>
        <w:tc>
          <w:tcPr>
            <w:tcW w:type="dxa" w:w="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2</w:t>
            </w:r>
          </w:p>
        </w:tc>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20"/>
                <w:szCs w:val="20"/>
              </w:rPr>
              <w:t xml:space="preserve">Maße werden benannt, nicht theoretisiert</w:t>
            </w:r>
          </w:p>
        </w:tc>
        <w:tc>
          <w:tcPr>
            <w:tcW w:type="dxa" w:w="6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Jedes Maß wird schlicht angegeben: was es ist, wie es operationalisiert ist, welche Datenquelle es nutzt. Keine Wiederholung der Theorie. Jedes Maß zitiert Quellen, die es vorher verwendet haben. Ein </w:t>
            </w:r>
            <w:r>
              <w:rPr>
                <w:b/>
                <w:bCs/>
                <w:sz w:val="20"/>
                <w:szCs w:val="20"/>
              </w:rPr>
              <w:t xml:space="preserve">neues</w:t>
            </w:r>
            <w:r>
              <w:rPr>
                <w:sz w:val="20"/>
                <w:szCs w:val="20"/>
              </w:rPr>
              <w:t xml:space="preserve"> Maß (oder eine substanzielle Anpassung) braucht Begründung, Herleitung und idealerweise Validierung.</w:t>
            </w:r>
          </w:p>
        </w:tc>
      </w:tr>
      <w:tr>
        <w:tc>
          <w:tcPr>
            <w:tcW w:type="dxa" w:w="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w:t>
            </w:r>
          </w:p>
        </w:tc>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20"/>
                <w:szCs w:val="20"/>
              </w:rPr>
              <w:t xml:space="preserve">Jede Kontrollvariable hat einen Grund</w:t>
            </w:r>
          </w:p>
        </w:tc>
        <w:tc>
          <w:tcPr>
            <w:tcW w:type="dxa" w:w="6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Für jede Kontrolle steht im Text, warum sie aufgenommen wurde: ihr erwarteter Einfluss auf die abhängige Variable, die unabhängige Variable oder beide – mit Referenz.</w:t>
            </w:r>
          </w:p>
        </w:tc>
      </w:tr>
      <w:tr>
        <w:tc>
          <w:tcPr>
            <w:tcW w:type="dxa" w:w="5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4</w:t>
            </w:r>
          </w:p>
        </w:tc>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20"/>
                <w:szCs w:val="20"/>
              </w:rPr>
              <w:t xml:space="preserve">Schlankes Schreiben</w:t>
            </w:r>
          </w:p>
        </w:tc>
        <w:tc>
          <w:tcPr>
            <w:tcW w:type="dxa" w:w="65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Keine Doppelungen (nicht zwischen Absätzen, nicht zwischen Text und Tabellen, keine Wiederholung von Theorie oder Hypothesen). Einfache Formulierungen. Keine unnötigen Überleitungen oder Ankündigungen.</w:t>
            </w:r>
          </w:p>
        </w:tc>
      </w:tr>
      <w:tr>
        <w:tc>
          <w:tcPr>
            <w:tcW w:type="dxa" w:w="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5</w:t>
            </w:r>
          </w:p>
        </w:tc>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20"/>
                <w:szCs w:val="20"/>
              </w:rPr>
              <w:t xml:space="preserve">Länge wie in den Lehrstuhl-Exemplaren</w:t>
            </w:r>
          </w:p>
        </w:tc>
        <w:tc>
          <w:tcPr>
            <w:tcW w:type="dxa" w:w="65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Der Methodenteil ist ungefähr so lang wie in den Exemplar-Papern (Kapitel 9). Abweichungen brauchen einen Grund, etwa eine neue Datenquelle oder ein neues Maß, das validiert werden muss.</w:t>
            </w:r>
          </w:p>
        </w:tc>
      </w:tr>
    </w:tbl>
    <w:p>
      <w:pPr>
        <w:spacing w:after="120"/>
      </w:pPr>
    </w:p>
    <w:p>
      <w:pPr>
        <w:pStyle w:val="Heading2"/>
      </w:pPr>
      <w:r>
        <w:t xml:space="preserve">2.1  Der Standardaufbau</w:t>
      </w:r>
    </w:p>
    <w:p>
      <w:pPr>
        <w:pBdr>
          <w:top w:val="single" w:color="2E6DA4" w:sz="6" w:space="6"/>
          <w:bottom w:val="single" w:color="2E6DA4" w:sz="6" w:space="6"/>
        </w:pBdr>
        <w:shd w:fill="EEF3F8" w:color="auto" w:val="clear"/>
        <w:spacing w:after="200" w:before="160"/>
        <w:jc w:val="center"/>
      </w:pPr>
      <w:r>
        <w:rPr>
          <w:b/>
          <w:bCs/>
          <w:color w:val="1F3A5F"/>
          <w:sz w:val="24"/>
          <w:szCs w:val="24"/>
        </w:rPr>
        <w:t xml:space="preserve">Stichprobe  →  Messung (AV, UV, Moderator/Mediator)  →  Kontrollvariablen  →  Schätzverfahren</w:t>
      </w:r>
    </w:p>
    <w:p>
      <w:pPr>
        <w:spacing w:after="120"/>
      </w:pPr>
      <w:r>
        <w:t xml:space="preserve">Das ist ein </w:t>
      </w:r>
      <w:r>
        <w:rPr>
          <w:b/>
          <w:bCs/>
        </w:rPr>
        <w:t xml:space="preserve">Standardaufbau, keine mechanische Schablone</w:t>
      </w:r>
      <w:r>
        <w:t xml:space="preserve">. Entscheidend ist, dass jeder Baustein vollständig und an der erwarteten Stelle zu finden ist.</w:t>
      </w:r>
    </w:p>
    <w:p>
      <w:pPr>
        <w:pStyle w:val="Heading2"/>
      </w:pPr>
      <w:r>
        <w:t xml:space="preserve">2.2  Was am meisten zählt</w:t>
      </w:r>
    </w:p>
    <w:p>
      <w:pPr>
        <w:spacing w:after="120"/>
      </w:pPr>
      <w:r>
        <w:t xml:space="preserve">Nicht alle Elemente wiegen gleich schwer. Ein fertiger Methodenteil wird zuerst an seinem Inhalt gemessen, dann an seiner Schlankheit, zuletzt an der Formulierung. Die Rangfolge der Qualitätskriterien:</w:t>
      </w:r>
    </w:p>
    <w:p>
      <w:pPr>
        <w:pStyle w:val="ListParagraph"/>
        <w:numPr>
          <w:ilvl w:val="0"/>
          <w:numId w:val="4"/>
        </w:numPr>
        <w:spacing w:after="60"/>
      </w:pPr>
      <w:r>
        <w:rPr>
          <w:b/>
          <w:bCs/>
        </w:rPr>
        <w:t xml:space="preserve">Passung von Design und Frage:</w:t>
      </w:r>
      <w:r>
        <w:t xml:space="preserve"> Stichprobe, Analyseeinheit und Datenstruktur können die Hypothesen testen (die Stichprobe variiert im fokalen Konstrukt, die AV erfasst das theoretisierte Ergebnis).</w:t>
      </w:r>
    </w:p>
    <w:p>
      <w:pPr>
        <w:pStyle w:val="ListParagraph"/>
        <w:numPr>
          <w:ilvl w:val="0"/>
          <w:numId w:val="4"/>
        </w:numPr>
        <w:spacing w:after="60"/>
      </w:pPr>
      <w:r>
        <w:rPr>
          <w:b/>
          <w:bCs/>
        </w:rPr>
        <w:t xml:space="preserve">Vollständiger Stichproben-Wasserfall:</w:t>
      </w:r>
      <w:r>
        <w:t xml:space="preserve"> jeder Schritt, jedes N, jede Reduktion berichtet und begründet.</w:t>
      </w:r>
    </w:p>
    <w:p>
      <w:pPr>
        <w:pStyle w:val="ListParagraph"/>
        <w:numPr>
          <w:ilvl w:val="0"/>
          <w:numId w:val="4"/>
        </w:numPr>
        <w:spacing w:after="60"/>
      </w:pPr>
      <w:r>
        <w:rPr>
          <w:b/>
          <w:bCs/>
        </w:rPr>
        <w:t xml:space="preserve">Zentrale Maße:</w:t>
      </w:r>
      <w:r>
        <w:t xml:space="preserve"> AV, UV und Moderator/Mediator klar benannt, belegt und – falls neu – hergeleitet und validiert.</w:t>
      </w:r>
    </w:p>
    <w:p>
      <w:pPr>
        <w:pStyle w:val="ListParagraph"/>
        <w:numPr>
          <w:ilvl w:val="0"/>
          <w:numId w:val="4"/>
        </w:numPr>
        <w:spacing w:after="60"/>
      </w:pPr>
      <w:r>
        <w:rPr>
          <w:b/>
          <w:bCs/>
        </w:rPr>
        <w:t xml:space="preserve">Kontrollvariablen:</w:t>
      </w:r>
      <w:r>
        <w:t xml:space="preserve"> jede mit Grund (Wirkung auf AV und/oder UV) und Referenz.</w:t>
      </w:r>
    </w:p>
    <w:p>
      <w:pPr>
        <w:pStyle w:val="ListParagraph"/>
        <w:numPr>
          <w:ilvl w:val="0"/>
          <w:numId w:val="4"/>
        </w:numPr>
        <w:spacing w:after="60"/>
      </w:pPr>
      <w:r>
        <w:rPr>
          <w:b/>
          <w:bCs/>
        </w:rPr>
        <w:t xml:space="preserve">Schätzverfahren:</w:t>
      </w:r>
      <w:r>
        <w:t xml:space="preserve"> Modell passt zu Ergebnisvariable und Datenstruktur, Wahl ist begründet.</w:t>
      </w:r>
    </w:p>
    <w:p>
      <w:pPr>
        <w:pStyle w:val="ListParagraph"/>
        <w:numPr>
          <w:ilvl w:val="0"/>
          <w:numId w:val="4"/>
        </w:numPr>
        <w:spacing w:after="60"/>
      </w:pPr>
      <w:r>
        <w:rPr>
          <w:b/>
          <w:bCs/>
        </w:rPr>
        <w:t xml:space="preserve">Schlankheit:</w:t>
      </w:r>
      <w:r>
        <w:t xml:space="preserve"> keine Doppelungen, keine Theorie, keine Überleitungen, keine Lehrbuchpassagen.</w:t>
      </w:r>
    </w:p>
    <w:p>
      <w:pPr>
        <w:pStyle w:val="ListParagraph"/>
        <w:numPr>
          <w:ilvl w:val="0"/>
          <w:numId w:val="4"/>
        </w:numPr>
        <w:spacing w:after="60"/>
      </w:pPr>
      <w:r>
        <w:rPr>
          <w:b/>
          <w:bCs/>
        </w:rPr>
        <w:t xml:space="preserve">Länge und Proportionen</w:t>
      </w:r>
      <w:r>
        <w:t xml:space="preserve"> im Rahmen des Lehrstuhl-Benchmarks.</w:t>
      </w:r>
    </w:p>
    <w:p>
      <w:pPr>
        <w:pStyle w:val="ListParagraph"/>
        <w:numPr>
          <w:ilvl w:val="0"/>
          <w:numId w:val="4"/>
        </w:numPr>
        <w:spacing w:after="60"/>
      </w:pPr>
      <w:r>
        <w:rPr>
          <w:b/>
          <w:bCs/>
        </w:rPr>
        <w:t xml:space="preserve">Formulierung.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Merke:  </w:t>
            </w:r>
            <w:r>
              <w:t xml:space="preserve">Inhaltliche Lücken schlagen Schlankheit; Schlankheit schlägt Formulierung. Ein eleganter Methodenteil mit unerklärten Stichprobenverlusten überzeugt nicht.</w:t>
            </w:r>
          </w:p>
        </w:tc>
      </w:tr>
    </w:tbl>
    <w:p>
      <w:pPr>
        <w:spacing w:after="80"/>
      </w:pPr>
    </w:p>
    <w:p>
      <w:pPr>
        <w:pStyle w:val="Heading1"/>
        <w:pageBreakBefore/>
      </w:pPr>
      <w:r>
        <w:t xml:space="preserve">3  Die Stichprobe: der Wasserfall</w:t>
      </w:r>
    </w:p>
    <w:p>
      <w:pPr>
        <w:pStyle w:val="Heading2"/>
      </w:pPr>
      <w:r>
        <w:t xml:space="preserve">3.1  Anforderungen</w:t>
      </w:r>
    </w:p>
    <w:p>
      <w:pPr>
        <w:pStyle w:val="ListParagraph"/>
        <w:numPr>
          <w:ilvl w:val="0"/>
          <w:numId w:val="2"/>
        </w:numPr>
        <w:spacing w:after="60"/>
      </w:pPr>
      <w:r>
        <w:rPr>
          <w:b/>
          <w:bCs/>
        </w:rPr>
        <w:t xml:space="preserve">Ausgangspunkt:</w:t>
      </w:r>
      <w:r>
        <w:t xml:space="preserve"> eine klar definierte Population bzw. ein Sampling Frame mit N (z. B. „alle 2010 gegründeten US-Tech-Ventures in Crunchbase“, „alle Firmen, die zwischen 2000 und 2019 mindestens einmal im S&amp;P 500 waren“).</w:t>
      </w:r>
    </w:p>
    <w:p>
      <w:pPr>
        <w:pStyle w:val="ListParagraph"/>
        <w:numPr>
          <w:ilvl w:val="0"/>
          <w:numId w:val="2"/>
        </w:numPr>
        <w:spacing w:after="60"/>
      </w:pPr>
      <w:r>
        <w:rPr>
          <w:b/>
          <w:bCs/>
        </w:rPr>
        <w:t xml:space="preserve">Jeder weitere Schritt in Reihenfolge</w:t>
      </w:r>
      <w:r>
        <w:t xml:space="preserve">, jeweils mit (a) was getan wurde (Einschränkung, Ausschluss, Matching, Zusammenführung mit einer weiteren Datenquelle), (b) warum und (c) dem N danach.</w:t>
      </w:r>
    </w:p>
    <w:p>
      <w:pPr>
        <w:pStyle w:val="ListParagraph"/>
        <w:numPr>
          <w:ilvl w:val="0"/>
          <w:numId w:val="2"/>
        </w:numPr>
        <w:spacing w:after="60"/>
      </w:pPr>
      <w:r>
        <w:rPr>
          <w:b/>
          <w:bCs/>
        </w:rPr>
        <w:t xml:space="preserve">Zusammenführungen mit weiteren Datenbanken sind eigene Schritte</w:t>
      </w:r>
      <w:r>
        <w:t xml:space="preserve">, weil Matching-Verluste N reduzieren.</w:t>
      </w:r>
    </w:p>
    <w:p>
      <w:pPr>
        <w:pStyle w:val="ListParagraph"/>
        <w:numPr>
          <w:ilvl w:val="0"/>
          <w:numId w:val="2"/>
        </w:numPr>
        <w:spacing w:after="60"/>
      </w:pPr>
      <w:r>
        <w:rPr>
          <w:b/>
          <w:bCs/>
        </w:rPr>
        <w:t xml:space="preserve">Jede Reduktion von N wird benannt und begründet.</w:t>
      </w:r>
      <w:r>
        <w:t xml:space="preserve"> „Nach Entfernen fehlender Werte umfasste die finale Stichprobe …“ ohne Zwischen-Ns reicht nicht, wenn mehrere Filter angewendet wurden.</w:t>
      </w:r>
    </w:p>
    <w:p>
      <w:pPr>
        <w:pStyle w:val="ListParagraph"/>
        <w:numPr>
          <w:ilvl w:val="0"/>
          <w:numId w:val="2"/>
        </w:numPr>
        <w:spacing w:after="60"/>
      </w:pPr>
      <w:r>
        <w:rPr>
          <w:b/>
          <w:bCs/>
        </w:rPr>
        <w:t xml:space="preserve">Abschluss mit finaler Stichprobe und Panelstruktur:</w:t>
      </w:r>
      <w:r>
        <w:t xml:space="preserve"> Einheiten, Beobachtungen, Zeiteinheit (Firmenjahr, Venture-Monat), Zeitraum, balanciert oder unbalanciert.</w:t>
      </w:r>
    </w:p>
    <w:p>
      <w:pPr>
        <w:pStyle w:val="ListParagraph"/>
        <w:numPr>
          <w:ilvl w:val="0"/>
          <w:numId w:val="2"/>
        </w:numPr>
        <w:spacing w:after="60"/>
      </w:pPr>
      <w:r>
        <w:rPr>
          <w:b/>
          <w:bCs/>
        </w:rPr>
        <w:t xml:space="preserve">Bei langen Wasserfällen</w:t>
      </w:r>
      <w:r>
        <w:t xml:space="preserve"> stehen die Hauptschritte im Text, der vollständige Ablauf in einer Abbildung oder Tabelle im Anhang, auf die präzise verwiesen wird.</w:t>
      </w:r>
    </w:p>
    <w:p>
      <w:pPr>
        <w:pStyle w:val="ListParagraph"/>
        <w:numPr>
          <w:ilvl w:val="0"/>
          <w:numId w:val="2"/>
        </w:numPr>
        <w:spacing w:after="60"/>
      </w:pPr>
      <w:r>
        <w:rPr>
          <w:b/>
          <w:bCs/>
        </w:rPr>
        <w:t xml:space="preserve">Konsistenz:</w:t>
      </w:r>
      <w:r>
        <w:t xml:space="preserve"> Die Ns im Text stimmen mit denen in Tabellen und in der empirischen Vorschau der Introduction überein.</w:t>
      </w:r>
    </w:p>
    <w:p>
      <w:pPr>
        <w:pStyle w:val="Heading2"/>
      </w:pPr>
      <w:r>
        <w:t xml:space="preserve">3.2  So sieht ein Wasserfall aus</w:t>
      </w:r>
    </w:p>
    <w:p>
      <w:pPr>
        <w:spacing w:after="120"/>
      </w:pPr>
      <w:r>
        <w:t xml:space="preserve">Die Logik lässt sich als Tabelle denken – auch wenn sie im Paper als Fließtext erscheint. Beispiel (schematisch, nach der Struktur von Lang et al.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900"/>
        <w:gridCol w:w="1838"/>
      </w:tblGrid>
      <w:tr>
        <w:trPr>
          <w:tblHeader/>
        </w:trPr>
        <w:tc>
          <w:tcPr>
            <w:tcW w:type="dxa" w:w="9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Schritt</w:t>
            </w:r>
          </w:p>
        </w:tc>
        <w:tc>
          <w:tcPr>
            <w:tcW w:type="dxa" w:w="4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Was getan wurde</w:t>
            </w:r>
          </w:p>
        </w:tc>
        <w:tc>
          <w:tcPr>
            <w:tcW w:type="dxa" w:w="29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Warum</w:t>
            </w:r>
          </w:p>
        </w:tc>
        <w:tc>
          <w:tcPr>
            <w:tcW w:type="dxa" w:w="18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N danach</w:t>
            </w:r>
          </w:p>
        </w:tc>
      </w:tr>
      <w:tr>
        <w:tc>
          <w:tcPr>
            <w:tcW w:type="dxa" w:w="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0</w:t>
            </w:r>
          </w:p>
        </w:tc>
        <w:tc>
          <w:tcPr>
            <w:tcW w:type="dxa" w:w="4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Ausgangspopulation: US-Tech-Ventures, gegründet 2010, mit vollständigen Finanzierungs- und Gründerteamdaten</w:t>
            </w:r>
          </w:p>
        </w:tc>
        <w:tc>
          <w:tcPr>
            <w:tcW w:type="dxa" w:w="2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Definierter Sampling Frame</w:t>
            </w:r>
          </w:p>
        </w:tc>
        <w:tc>
          <w:tcPr>
            <w:tcW w:type="dxa" w:w="18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2.254 Ventures</w:t>
            </w:r>
          </w:p>
        </w:tc>
      </w:tr>
      <w:tr>
        <w:tc>
          <w:tcPr>
            <w:tcW w:type="dxa" w:w="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1</w:t>
            </w:r>
          </w:p>
        </w:tc>
        <w:tc>
          <w:tcPr>
            <w:tcW w:type="dxa" w:w="4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Einschränkung auf Ventures, deren Gründer aktive LinkedIn-Profile haben</w:t>
            </w:r>
          </w:p>
        </w:tc>
        <w:tc>
          <w:tcPr>
            <w:tcW w:type="dxa" w:w="2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Das Narzissmus-Maß beruht auf LinkedIn-Daten</w:t>
            </w:r>
          </w:p>
        </w:tc>
        <w:tc>
          <w:tcPr>
            <w:tcW w:type="dxa" w:w="18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1.919 Ventures</w:t>
            </w:r>
          </w:p>
        </w:tc>
      </w:tr>
      <w:tr>
        <w:tc>
          <w:tcPr>
            <w:tcW w:type="dxa" w:w="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2</w:t>
            </w:r>
          </w:p>
        </w:tc>
        <w:tc>
          <w:tcPr>
            <w:tcW w:type="dxa" w:w="4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Ausschluss von Ein-Personen-Gründungen</w:t>
            </w:r>
          </w:p>
        </w:tc>
        <w:tc>
          <w:tcPr>
            <w:tcW w:type="dxa" w:w="2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Die Hypothesen betreffen Gründerteams</w:t>
            </w:r>
          </w:p>
        </w:tc>
        <w:tc>
          <w:tcPr>
            <w:tcW w:type="dxa" w:w="18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911 Ventures</w:t>
            </w:r>
          </w:p>
        </w:tc>
      </w:tr>
      <w:tr>
        <w:tc>
          <w:tcPr>
            <w:tcW w:type="dxa" w:w="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Ende</w:t>
            </w:r>
          </w:p>
        </w:tc>
        <w:tc>
          <w:tcPr>
            <w:tcW w:type="dxa" w:w="4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Finales Panel</w:t>
            </w:r>
          </w:p>
        </w:tc>
        <w:tc>
          <w:tcPr>
            <w:tcW w:type="dxa" w:w="2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w:t>
            </w:r>
          </w:p>
        </w:tc>
        <w:tc>
          <w:tcPr>
            <w:tcW w:type="dxa" w:w="18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911 Ventures, 83.577 Venture-Monate</w:t>
            </w:r>
          </w:p>
        </w:tc>
      </w:tr>
    </w:tbl>
    <w:p>
      <w:pPr>
        <w:spacing w:after="120"/>
      </w:pPr>
    </w:p>
    <w:p>
      <w:pPr>
        <w:pStyle w:val="Heading2"/>
      </w:pPr>
      <w:r>
        <w:t xml:space="preserve">3.3  Exemplare</w:t>
      </w:r>
    </w:p>
    <w:p>
      <w:pPr>
        <w:spacing w:after="120"/>
      </w:pPr>
      <w:r>
        <w:rPr>
          <w:b/>
          <w:bCs/>
        </w:rPr>
        <w:t xml:space="preserve">Vollständiger Wasserfall mit Grund und N bei jedem Schritt (Musterfall)</w:t>
      </w:r>
    </w:p>
    <w:p>
      <w:pPr>
        <w:pBdr>
          <w:left w:val="single" w:color="2E6DA4" w:sz="18" w:space="10"/>
        </w:pBdr>
        <w:shd w:fill="F5F7FA" w:color="auto" w:val="clear"/>
        <w:spacing w:after="40" w:before="120"/>
        <w:ind w:left="567" w:right="283"/>
      </w:pPr>
      <w:r>
        <w:rPr>
          <w:i/>
          <w:iCs/>
          <w:color w:val="333333"/>
        </w:rPr>
        <w:t xml:space="preserve">„This process yielded 69,391 firms.“</w:t>
      </w:r>
    </w:p>
    <w:p>
      <w:pPr>
        <w:spacing w:after="120"/>
        <w:ind w:left="567"/>
        <w:jc w:val="left"/>
      </w:pPr>
      <w:r>
        <w:rPr>
          <w:color w:val="5A6270"/>
          <w:sz w:val="18"/>
          <w:szCs w:val="18"/>
        </w:rPr>
        <w:t xml:space="preserve">— Winkler, Rieger &amp; Engelen (2020, JAMS)</w:t>
      </w:r>
    </w:p>
    <w:p>
      <w:pPr>
        <w:pBdr>
          <w:left w:val="single" w:color="2E6DA4" w:sz="18" w:space="10"/>
        </w:pBdr>
        <w:shd w:fill="F5F7FA" w:color="auto" w:val="clear"/>
        <w:spacing w:after="40" w:before="120"/>
        <w:ind w:left="567" w:right="283"/>
      </w:pPr>
      <w:r>
        <w:rPr>
          <w:i/>
          <w:iCs/>
          <w:color w:val="333333"/>
        </w:rPr>
        <w:t xml:space="preserve">„CMOs were listed in the TMTs of 4724 companies at some point during our observation period.“</w:t>
      </w:r>
    </w:p>
    <w:p>
      <w:pPr>
        <w:spacing w:after="120"/>
        <w:ind w:left="567"/>
        <w:jc w:val="left"/>
      </w:pPr>
      <w:r>
        <w:rPr>
          <w:color w:val="5A6270"/>
          <w:sz w:val="18"/>
          <w:szCs w:val="18"/>
        </w:rPr>
        <w:t xml:space="preserve">— Winkler, Rieger &amp; Engelen (2020, JAMS)</w:t>
      </w:r>
    </w:p>
    <w:p>
      <w:pPr>
        <w:pBdr>
          <w:left w:val="single" w:color="2E6DA4" w:sz="18" w:space="10"/>
        </w:pBdr>
        <w:shd w:fill="F5F7FA" w:color="auto" w:val="clear"/>
        <w:spacing w:after="40" w:before="120"/>
        <w:ind w:left="567" w:right="283"/>
      </w:pPr>
      <w:r>
        <w:rPr>
          <w:i/>
          <w:iCs/>
          <w:color w:val="333333"/>
        </w:rPr>
        <w:t xml:space="preserve">„Using this method, we collected data on the CMO's personality for 788 firms (2290 firm years), but missing data on other variables reduced the sample to 632 firms (1504 firm years). Finally, we dropped outlier observations that were outside three standard deviations from the mean of the dependent variable (Nath and Mahajan 2011), which resulted in a sample of 627 new ventures and 613 unique CMOs, for a total of 1482 firm years.“</w:t>
      </w:r>
    </w:p>
    <w:p>
      <w:pPr>
        <w:spacing w:after="120"/>
        <w:ind w:left="567"/>
        <w:jc w:val="left"/>
      </w:pPr>
      <w:r>
        <w:rPr>
          <w:color w:val="5A6270"/>
          <w:sz w:val="18"/>
          <w:szCs w:val="18"/>
        </w:rPr>
        <w:t xml:space="preserve">— Winkler, Rieger &amp; Engelen (2020, JAMS)</w:t>
      </w:r>
    </w:p>
    <w:p>
      <w:pPr>
        <w:spacing w:after="140"/>
      </w:pPr>
      <w:r>
        <w:rPr>
          <w:b/>
          <w:bCs/>
          <w:color w:val="2E6DA4"/>
        </w:rPr>
        <w:t xml:space="preserve">Technik: </w:t>
      </w:r>
      <w:r>
        <w:t xml:space="preserve">Jeder Schritt nennt, was passiert ist, warum und das N danach – bis hin zum Ausschluss von fünf Ausreißer-Firmen. Der gesamte Ablauf ist zusätzlich im Anhang dokumentiert („Web Appendix A gives an overview of the sampling process“).</w:t>
      </w:r>
    </w:p>
    <w:p>
      <w:pPr>
        <w:spacing w:after="120"/>
      </w:pPr>
      <w:r>
        <w:rPr>
          <w:b/>
          <w:bCs/>
        </w:rPr>
        <w:t xml:space="preserve">Jede Einschränkung mit Grund und Folge</w:t>
      </w:r>
    </w:p>
    <w:p>
      <w:pPr>
        <w:pBdr>
          <w:left w:val="single" w:color="2E6DA4" w:sz="18" w:space="10"/>
        </w:pBdr>
        <w:shd w:fill="F5F7FA" w:color="auto" w:val="clear"/>
        <w:spacing w:after="40" w:before="120"/>
        <w:ind w:left="567" w:right="283"/>
      </w:pPr>
      <w:r>
        <w:rPr>
          <w:i/>
          <w:iCs/>
          <w:color w:val="333333"/>
        </w:rPr>
        <w:t xml:space="preserve">„Our initial sample comprised 2254 ventures that fulfilled the above-listed inclusion criteria of tech-based ventures being founded in the United States in 2010, while having complete data available on funding events, their timing, and amounts, as well as information on the founding team.“</w:t>
      </w:r>
    </w:p>
    <w:p>
      <w:pPr>
        <w:spacing w:after="120"/>
        <w:ind w:left="567"/>
        <w:jc w:val="left"/>
      </w:pPr>
      <w:r>
        <w:rPr>
          <w:color w:val="5A6270"/>
          <w:sz w:val="18"/>
          <w:szCs w:val="18"/>
        </w:rPr>
        <w:t xml:space="preserve">— Lang et al. (2025, JBV)</w:t>
      </w:r>
    </w:p>
    <w:p>
      <w:pPr>
        <w:pBdr>
          <w:left w:val="single" w:color="2E6DA4" w:sz="18" w:space="10"/>
        </w:pBdr>
        <w:shd w:fill="F5F7FA" w:color="auto" w:val="clear"/>
        <w:spacing w:after="40" w:before="120"/>
        <w:ind w:left="567" w:right="283"/>
      </w:pPr>
      <w:r>
        <w:rPr>
          <w:i/>
          <w:iCs/>
          <w:color w:val="333333"/>
        </w:rPr>
        <w:t xml:space="preserve">„As our measure of founder narcissism relies on LinkedIn data, we restricted our sample to ventures whose founders had active LinkedIn profiles, reducing the sample to 1919 ventures.“</w:t>
      </w:r>
    </w:p>
    <w:p>
      <w:pPr>
        <w:spacing w:after="120"/>
        <w:ind w:left="567"/>
        <w:jc w:val="left"/>
      </w:pPr>
      <w:r>
        <w:rPr>
          <w:color w:val="5A6270"/>
          <w:sz w:val="18"/>
          <w:szCs w:val="18"/>
        </w:rPr>
        <w:t xml:space="preserve">— Lang et al. (2025, JBV)</w:t>
      </w:r>
    </w:p>
    <w:p>
      <w:pPr>
        <w:pBdr>
          <w:left w:val="single" w:color="2E6DA4" w:sz="18" w:space="10"/>
        </w:pBdr>
        <w:shd w:fill="F5F7FA" w:color="auto" w:val="clear"/>
        <w:spacing w:after="40" w:before="120"/>
        <w:ind w:left="567" w:right="283"/>
      </w:pPr>
      <w:r>
        <w:rPr>
          <w:i/>
          <w:iCs/>
          <w:color w:val="333333"/>
        </w:rPr>
        <w:t xml:space="preserve">„Finally, we excluded single-founder ventures, yielding a final sample of 911 ventures with no missing information in any of the key measures.“</w:t>
      </w:r>
    </w:p>
    <w:p>
      <w:pPr>
        <w:spacing w:after="120"/>
        <w:ind w:left="567"/>
        <w:jc w:val="left"/>
      </w:pPr>
      <w:r>
        <w:rPr>
          <w:color w:val="5A6270"/>
          <w:sz w:val="18"/>
          <w:szCs w:val="18"/>
        </w:rPr>
        <w:t xml:space="preserve">— Lang et al. (2025, JBV)</w:t>
      </w:r>
    </w:p>
    <w:p>
      <w:pPr>
        <w:pBdr>
          <w:left w:val="single" w:color="2E6DA4" w:sz="18" w:space="10"/>
        </w:pBdr>
        <w:shd w:fill="F5F7FA" w:color="auto" w:val="clear"/>
        <w:spacing w:after="40" w:before="120"/>
        <w:ind w:left="567" w:right="283"/>
      </w:pPr>
      <w:r>
        <w:rPr>
          <w:i/>
          <w:iCs/>
          <w:color w:val="333333"/>
        </w:rPr>
        <w:t xml:space="preserve">„The final panel of 911 ventures yielded 83,577 firm-month observations (…).“</w:t>
      </w:r>
    </w:p>
    <w:p>
      <w:pPr>
        <w:spacing w:after="120"/>
        <w:ind w:left="567"/>
        <w:jc w:val="left"/>
      </w:pPr>
      <w:r>
        <w:rPr>
          <w:color w:val="5A6270"/>
          <w:sz w:val="18"/>
          <w:szCs w:val="18"/>
        </w:rPr>
        <w:t xml:space="preserve">— Lang et al. (2025, JBV)</w:t>
      </w:r>
    </w:p>
    <w:p>
      <w:pPr>
        <w:spacing w:after="140"/>
      </w:pPr>
      <w:r>
        <w:rPr>
          <w:b/>
          <w:bCs/>
          <w:color w:val="2E6DA4"/>
        </w:rPr>
        <w:t xml:space="preserve">Technik: </w:t>
      </w:r>
      <w:r>
        <w:t xml:space="preserve">Der Grund für die Einschränkung steht zuerst („As our measure … relies on LinkedIn data“), dann das N. Der Wasserfall endet mit der Panelstruktur.</w:t>
      </w:r>
    </w:p>
    <w:p>
      <w:pPr>
        <w:spacing w:after="120"/>
      </w:pPr>
      <w:r>
        <w:rPr>
          <w:b/>
          <w:bCs/>
        </w:rPr>
        <w:t xml:space="preserve">Erklären, wo Beobachtungen verloren gingen</w:t>
      </w:r>
    </w:p>
    <w:p>
      <w:pPr>
        <w:pBdr>
          <w:left w:val="single" w:color="2E6DA4" w:sz="18" w:space="10"/>
        </w:pBdr>
        <w:shd w:fill="F5F7FA" w:color="auto" w:val="clear"/>
        <w:spacing w:after="40" w:before="120"/>
        <w:ind w:left="567" w:right="283"/>
      </w:pPr>
      <w:r>
        <w:rPr>
          <w:i/>
          <w:iCs/>
          <w:color w:val="333333"/>
        </w:rPr>
        <w:t xml:space="preserve">„Excluding missing observations and leading the dependent variables by 1 year resulted in an unbalanced panel of 708 firms and 6441 firm-year observations using data from 2005 to 2019 across industries. The decrease in observations stems primarily from our including control variables like R&amp;D intensity and especially acquisition spending.“</w:t>
      </w:r>
    </w:p>
    <w:p>
      <w:pPr>
        <w:spacing w:after="120"/>
        <w:ind w:left="567"/>
        <w:jc w:val="left"/>
      </w:pPr>
      <w:r>
        <w:rPr>
          <w:color w:val="5A6270"/>
          <w:sz w:val="18"/>
          <w:szCs w:val="18"/>
        </w:rPr>
        <w:t xml:space="preserve">— Engelen et al. (2026, JPIM)</w:t>
      </w:r>
    </w:p>
    <w:p>
      <w:pPr>
        <w:spacing w:after="140"/>
      </w:pPr>
      <w:r>
        <w:rPr>
          <w:b/>
          <w:bCs/>
          <w:color w:val="2E6DA4"/>
        </w:rPr>
        <w:t xml:space="preserve">Technik: </w:t>
      </w:r>
      <w:r>
        <w:t xml:space="preserve">Bei einem großen Verlust wird gesagt, welche Variablen ihn verursachen. Das beantwortet die Frage nach selektiven fehlenden Werten, bevor der Leser sie stellt.</w:t>
      </w:r>
    </w:p>
    <w:p>
      <w:pPr>
        <w:spacing w:after="120"/>
      </w:pPr>
      <w:r>
        <w:rPr>
          <w:b/>
          <w:bCs/>
        </w:rPr>
        <w:t xml:space="preserve">Zusammenführungen mit Datenbanken als Wasserfall-Schritte</w:t>
      </w:r>
    </w:p>
    <w:p>
      <w:pPr>
        <w:pBdr>
          <w:left w:val="single" w:color="2E6DA4" w:sz="18" w:space="10"/>
        </w:pBdr>
        <w:shd w:fill="F5F7FA" w:color="auto" w:val="clear"/>
        <w:spacing w:after="40" w:before="120"/>
        <w:ind w:left="567" w:right="283"/>
      </w:pPr>
      <w:r>
        <w:rPr>
          <w:i/>
          <w:iCs/>
          <w:color w:val="333333"/>
        </w:rPr>
        <w:t xml:space="preserve">„We identified 995 firms in this step. Next, we extracted patent data from the USPTO (Kogan et al., 2017) and successfully matched it to firm-year observations of 900 firms in our dataset.“</w:t>
      </w:r>
    </w:p>
    <w:p>
      <w:pPr>
        <w:spacing w:after="120"/>
        <w:ind w:left="567"/>
        <w:jc w:val="left"/>
      </w:pPr>
      <w:r>
        <w:rPr>
          <w:color w:val="5A6270"/>
          <w:sz w:val="18"/>
          <w:szCs w:val="18"/>
        </w:rPr>
        <w:t xml:space="preserve">— Osses et al. (2024, JPIM)</w:t>
      </w:r>
    </w:p>
    <w:p>
      <w:pPr>
        <w:spacing w:after="120"/>
      </w:pPr>
      <w:r>
        <w:rPr>
          <w:b/>
          <w:bCs/>
        </w:rPr>
        <w:t xml:space="preserve">Finales N aufgeschlüsselt nach den Gruppen, die die Hypothesen vergleichen</w:t>
      </w:r>
    </w:p>
    <w:p>
      <w:pPr>
        <w:pBdr>
          <w:left w:val="single" w:color="2E6DA4" w:sz="18" w:space="10"/>
        </w:pBdr>
        <w:shd w:fill="F5F7FA" w:color="auto" w:val="clear"/>
        <w:spacing w:after="40" w:before="120"/>
        <w:ind w:left="567" w:right="283"/>
      </w:pPr>
      <w:r>
        <w:rPr>
          <w:i/>
          <w:iCs/>
          <w:color w:val="333333"/>
        </w:rPr>
        <w:t xml:space="preserve">„These firms were led by 1637 CEOs, 1410 of whom were professional CEOs with no founding experience, 129 of whom were founder CEOs (…), and 98 of whom were external founder CEOs (…).“</w:t>
      </w:r>
    </w:p>
    <w:p>
      <w:pPr>
        <w:spacing w:after="120"/>
        <w:ind w:left="567"/>
        <w:jc w:val="left"/>
      </w:pPr>
      <w:r>
        <w:rPr>
          <w:color w:val="5A6270"/>
          <w:sz w:val="18"/>
          <w:szCs w:val="18"/>
        </w:rPr>
        <w:t xml:space="preserve">— Osses et al. (2024, JPIM)</w:t>
      </w:r>
    </w:p>
    <w:p>
      <w:pPr>
        <w:spacing w:after="120"/>
      </w:pPr>
      <w:r>
        <w:rPr>
          <w:b/>
          <w:bCs/>
        </w:rPr>
        <w:t xml:space="preserve">Matching und Datenanforderungen als Wasserfall-Schritte</w:t>
      </w:r>
    </w:p>
    <w:p>
      <w:pPr>
        <w:pBdr>
          <w:left w:val="single" w:color="2E6DA4" w:sz="18" w:space="10"/>
        </w:pBdr>
        <w:shd w:fill="F5F7FA" w:color="auto" w:val="clear"/>
        <w:spacing w:after="40" w:before="120"/>
        <w:ind w:left="567" w:right="283"/>
      </w:pPr>
      <w:r>
        <w:rPr>
          <w:i/>
          <w:iCs/>
          <w:color w:val="333333"/>
        </w:rPr>
        <w:t xml:space="preserve">„We matched each venture from the treatment group with one (the most similar) venture from the control group, yielding a final sample of 1340 ventures (670 in both the treatment and control groups).“</w:t>
      </w:r>
    </w:p>
    <w:p>
      <w:pPr>
        <w:spacing w:after="120"/>
        <w:ind w:left="567"/>
        <w:jc w:val="left"/>
      </w:pPr>
      <w:r>
        <w:rPr>
          <w:color w:val="5A6270"/>
          <w:sz w:val="18"/>
          <w:szCs w:val="18"/>
        </w:rPr>
        <w:t xml:space="preserve">— Haeberle et al. (2026, JPIM)</w:t>
      </w:r>
    </w:p>
    <w:p>
      <w:pPr>
        <w:pBdr>
          <w:left w:val="single" w:color="2E6DA4" w:sz="18" w:space="10"/>
        </w:pBdr>
        <w:shd w:fill="F5F7FA" w:color="auto" w:val="clear"/>
        <w:spacing w:after="40" w:before="120"/>
        <w:ind w:left="567" w:right="283"/>
      </w:pPr>
      <w:r>
        <w:rPr>
          <w:i/>
          <w:iCs/>
          <w:color w:val="333333"/>
        </w:rPr>
        <w:t xml:space="preserve">„For our final sample, since we rely heavily on patent data in our analysis, we included all ventures with at least one patent during our observation period (Hall et al. 2005), resulting in 169 ventures (81 tech-based crisis and 88 non-crisis).“</w:t>
      </w:r>
    </w:p>
    <w:p>
      <w:pPr>
        <w:spacing w:after="120"/>
        <w:ind w:left="567"/>
        <w:jc w:val="left"/>
      </w:pPr>
      <w:r>
        <w:rPr>
          <w:color w:val="5A6270"/>
          <w:sz w:val="18"/>
          <w:szCs w:val="18"/>
        </w:rPr>
        <w:t xml:space="preserve">— Haeberle et al. (2026, JPIM)</w:t>
      </w:r>
    </w:p>
    <w:p>
      <w:pPr>
        <w:pBdr>
          <w:left w:val="single" w:color="2E6DA4" w:sz="18" w:space="10"/>
        </w:pBdr>
        <w:shd w:fill="F5F7FA" w:color="auto" w:val="clear"/>
        <w:spacing w:after="40" w:before="120"/>
        <w:ind w:left="567" w:right="283"/>
      </w:pPr>
      <w:r>
        <w:rPr>
          <w:i/>
          <w:iCs/>
          <w:color w:val="333333"/>
        </w:rPr>
        <w:t xml:space="preserve">„Therefore, we limited our observation period to 6 years for all ventures, resulting in 1014 venture-year observations (169 ventures × 6 years).“</w:t>
      </w:r>
    </w:p>
    <w:p>
      <w:pPr>
        <w:spacing w:after="120"/>
        <w:ind w:left="567"/>
        <w:jc w:val="left"/>
      </w:pPr>
      <w:r>
        <w:rPr>
          <w:color w:val="5A6270"/>
          <w:sz w:val="18"/>
          <w:szCs w:val="18"/>
        </w:rPr>
        <w:t xml:space="preserve">— Haeberle et al. (2026, JPIM)</w:t>
      </w:r>
    </w:p>
    <w:p>
      <w:pPr>
        <w:spacing w:after="140"/>
      </w:pPr>
      <w:r>
        <w:rPr>
          <w:b/>
          <w:bCs/>
          <w:color w:val="2E6DA4"/>
        </w:rPr>
        <w:t xml:space="preserve">Technik: </w:t>
      </w:r>
      <w:r>
        <w:t xml:space="preserve">Jeder Schritt trägt seinen Grund im selben Satz und nennt das N für beide Gruppen. Der Ablauf ist in einer Anhangsabbildung zusammengefasst („We summarize our sampling approach in Figure C1“).</w:t>
      </w:r>
    </w:p>
    <w:p>
      <w:pPr>
        <w:spacing w:after="120"/>
      </w:pPr>
      <w:r>
        <w:rPr>
          <w:b/>
          <w:bCs/>
        </w:rPr>
        <w:t xml:space="preserve">Kompakter Wasserfall über mehrere Datenquellen</w:t>
      </w:r>
    </w:p>
    <w:p>
      <w:pPr>
        <w:pBdr>
          <w:left w:val="single" w:color="2E6DA4" w:sz="18" w:space="10"/>
        </w:pBdr>
        <w:shd w:fill="F5F7FA" w:color="auto" w:val="clear"/>
        <w:spacing w:after="40" w:before="120"/>
        <w:ind w:left="567" w:right="283"/>
      </w:pPr>
      <w:r>
        <w:rPr>
          <w:i/>
          <w:iCs/>
          <w:color w:val="333333"/>
        </w:rPr>
        <w:t xml:space="preserve">„This process resulted in 1,799 ventures with complete information on founders.“</w:t>
      </w:r>
    </w:p>
    <w:p>
      <w:pPr>
        <w:spacing w:after="120"/>
        <w:ind w:left="567"/>
        <w:jc w:val="left"/>
      </w:pPr>
      <w:r>
        <w:rPr>
          <w:color w:val="5A6270"/>
          <w:sz w:val="18"/>
          <w:szCs w:val="18"/>
        </w:rPr>
        <w:t xml:space="preserve">— Brandenburg et al. (2026, ETP)</w:t>
      </w:r>
    </w:p>
    <w:p>
      <w:pPr>
        <w:pBdr>
          <w:left w:val="single" w:color="2E6DA4" w:sz="18" w:space="10"/>
        </w:pBdr>
        <w:shd w:fill="F5F7FA" w:color="auto" w:val="clear"/>
        <w:spacing w:after="40" w:before="120"/>
        <w:ind w:left="567" w:right="283"/>
      </w:pPr>
      <w:r>
        <w:rPr>
          <w:i/>
          <w:iCs/>
          <w:color w:val="333333"/>
        </w:rPr>
        <w:t xml:space="preserve">„This process generated more than 200,000 individual profiles for 1,696 ventures because we included both current and past employees who were part of the venture at any point over these 10 years.“</w:t>
      </w:r>
    </w:p>
    <w:p>
      <w:pPr>
        <w:spacing w:after="120"/>
        <w:ind w:left="567"/>
        <w:jc w:val="left"/>
      </w:pPr>
      <w:r>
        <w:rPr>
          <w:color w:val="5A6270"/>
          <w:sz w:val="18"/>
          <w:szCs w:val="18"/>
        </w:rPr>
        <w:t xml:space="preserve">— Brandenburg et al. (2026, ETP)</w:t>
      </w:r>
    </w:p>
    <w:p>
      <w:pPr>
        <w:spacing w:after="120"/>
      </w:pPr>
      <w:r>
        <w:rPr>
          <w:b/>
          <w:bCs/>
        </w:rPr>
        <w:t xml:space="preserve">Gegenbeispiel: Schritte im Haupttext zusammengefasst</w:t>
      </w:r>
    </w:p>
    <w:p>
      <w:pPr>
        <w:pBdr>
          <w:left w:val="single" w:color="2E6DA4" w:sz="18" w:space="10"/>
        </w:pBdr>
        <w:shd w:fill="F5F7FA" w:color="auto" w:val="clear"/>
        <w:spacing w:after="40" w:before="120"/>
        <w:ind w:left="567" w:right="283"/>
      </w:pPr>
      <w:r>
        <w:rPr>
          <w:i/>
          <w:iCs/>
          <w:color w:val="333333"/>
        </w:rPr>
        <w:t xml:space="preserve">„After excluding public companies and ventures with missing data, we had 5,370 new U.S. ventures with complete records. (See Web Appendix W5 for a stepwise description of our sample construction.)“</w:t>
      </w:r>
    </w:p>
    <w:p>
      <w:pPr>
        <w:spacing w:after="120"/>
        <w:ind w:left="567"/>
        <w:jc w:val="left"/>
      </w:pPr>
      <w:r>
        <w:rPr>
          <w:color w:val="5A6270"/>
          <w:sz w:val="18"/>
          <w:szCs w:val="18"/>
        </w:rPr>
        <w:t xml:space="preserve">— Rieger, Dreller &amp; Engelen (2024, JMR)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Für dieses Journal akzeptabel, weil der Web-Anhang die Schritte trägt – aber der Haupttext nennt keine Zwischen-Ns. In einem Lehrstuhl-Paper gehören die Hauptschritte und Ns in den Text.</w:t>
            </w:r>
          </w:p>
        </w:tc>
      </w:tr>
    </w:tbl>
    <w:p>
      <w:pPr>
        <w:spacing w:after="80"/>
      </w:pPr>
    </w:p>
    <w:p>
      <w:pPr>
        <w:pStyle w:val="Heading2"/>
      </w:pPr>
      <w:r>
        <w:t xml:space="preserve">3.4  Setting und Zeitfenster kurz begründen</w:t>
      </w:r>
    </w:p>
    <w:p>
      <w:pPr>
        <w:spacing w:after="120"/>
      </w:pPr>
      <w:r>
        <w:t xml:space="preserve">Das Setting und </w:t>
      </w:r>
      <w:r>
        <w:rPr>
          <w:b/>
          <w:bCs/>
        </w:rPr>
        <w:t xml:space="preserve">jede Grenze des Zeitfensters</w:t>
      </w:r>
      <w:r>
        <w:t xml:space="preserve"> werden in </w:t>
      </w:r>
      <w:r>
        <w:rPr>
          <w:b/>
          <w:bCs/>
        </w:rPr>
        <w:t xml:space="preserve">je einem Satz</w:t>
      </w:r>
      <w:r>
        <w:t xml:space="preserve"> begründet (z. B. warum diese Kohorte, warum Krisen- oder Pandemiejahre ausgeschlossen sind). Die ausführliche theoretische Begründung des Settings gehört in die Introduction oder den Theorieteil.</w:t>
      </w:r>
    </w:p>
    <w:p>
      <w:pPr>
        <w:pBdr>
          <w:left w:val="single" w:color="2E6DA4" w:sz="18" w:space="10"/>
        </w:pBdr>
        <w:shd w:fill="F5F7FA" w:color="auto" w:val="clear"/>
        <w:spacing w:after="40" w:before="120"/>
        <w:ind w:left="567" w:right="283"/>
      </w:pPr>
      <w:r>
        <w:rPr>
          <w:i/>
          <w:iCs/>
          <w:color w:val="333333"/>
        </w:rPr>
        <w:t xml:space="preserve">„We selected 2010 to ensure a sufficiently long observation period while avoiding including ventures founded during the 2008/2009 financial crisis.“</w:t>
      </w:r>
    </w:p>
    <w:p>
      <w:pPr>
        <w:spacing w:after="120"/>
        <w:ind w:left="567"/>
        <w:jc w:val="left"/>
      </w:pPr>
      <w:r>
        <w:rPr>
          <w:color w:val="5A6270"/>
          <w:sz w:val="18"/>
          <w:szCs w:val="18"/>
        </w:rPr>
        <w:t xml:space="preserve">— Lang et al. (2025, JBV)</w:t>
      </w:r>
    </w:p>
    <w:p>
      <w:pPr>
        <w:pBdr>
          <w:left w:val="single" w:color="2E6DA4" w:sz="18" w:space="10"/>
        </w:pBdr>
        <w:shd w:fill="F5F7FA" w:color="auto" w:val="clear"/>
        <w:spacing w:after="40" w:before="120"/>
        <w:ind w:left="567" w:right="283"/>
      </w:pPr>
      <w:r>
        <w:rPr>
          <w:i/>
          <w:iCs/>
          <w:color w:val="333333"/>
        </w:rPr>
        <w:t xml:space="preserve">„We do not take the following years into account as in 2020 the pandemic set in and an unprecedented period in the business world began.“</w:t>
      </w:r>
    </w:p>
    <w:p>
      <w:pPr>
        <w:spacing w:after="120"/>
        <w:ind w:left="567"/>
        <w:jc w:val="left"/>
      </w:pPr>
      <w:r>
        <w:rPr>
          <w:color w:val="5A6270"/>
          <w:sz w:val="18"/>
          <w:szCs w:val="18"/>
        </w:rPr>
        <w:t xml:space="preserve">— Engelen et al. (2026, JPIM)</w:t>
      </w:r>
    </w:p>
    <w:p>
      <w:pPr>
        <w:pBdr>
          <w:left w:val="single" w:color="2E6DA4" w:sz="18" w:space="10"/>
        </w:pBdr>
        <w:shd w:fill="F5F7FA" w:color="auto" w:val="clear"/>
        <w:spacing w:after="40" w:before="120"/>
        <w:ind w:left="567" w:right="283"/>
      </w:pPr>
      <w:r>
        <w:rPr>
          <w:i/>
          <w:iCs/>
          <w:color w:val="333333"/>
        </w:rPr>
        <w:t xml:space="preserve">„We excluded firms that had more than 1000 employees since new ventures that grow that quickly in a short period of time are unlikely to be facing the conditions that our theoretical reasoning suggests are typical for new ventures.“</w:t>
      </w:r>
    </w:p>
    <w:p>
      <w:pPr>
        <w:spacing w:after="120"/>
        <w:ind w:left="567"/>
        <w:jc w:val="left"/>
      </w:pPr>
      <w:r>
        <w:rPr>
          <w:color w:val="5A6270"/>
          <w:sz w:val="18"/>
          <w:szCs w:val="18"/>
        </w:rPr>
        <w:t xml:space="preserve">— Winkler, Rieger &amp; Engelen (2020, JAMS)</w:t>
      </w:r>
    </w:p>
    <w:p>
      <w:pPr>
        <w:spacing w:after="140"/>
      </w:pPr>
      <w:r>
        <w:rPr>
          <w:b/>
          <w:bCs/>
          <w:color w:val="2E6DA4"/>
        </w:rPr>
        <w:t xml:space="preserve">Technik: </w:t>
      </w:r>
      <w:r>
        <w:t xml:space="preserve">Ein Satz pro Entscheidung, Grund inklusive. Das letzte Beispiel knüpft das Ausschlusskriterium an den Geltungsbereich der Theorie.</w:t>
      </w:r>
    </w:p>
    <w:p>
      <w:pPr>
        <w:pStyle w:val="Heading2"/>
      </w:pPr>
      <w:r>
        <w:t xml:space="preserve">3.5  Datenquellen und Datenbank-Matching</w:t>
      </w:r>
    </w:p>
    <w:p>
      <w:pPr>
        <w:spacing w:after="120"/>
      </w:pPr>
      <w:r>
        <w:t xml:space="preserve">Jede Datenquelle wird </w:t>
      </w:r>
      <w:r>
        <w:rPr>
          <w:b/>
          <w:bCs/>
        </w:rPr>
        <w:t xml:space="preserve">einmal</w:t>
      </w:r>
      <w:r>
        <w:t xml:space="preserve"> genannt, mit </w:t>
      </w:r>
      <w:r>
        <w:rPr>
          <w:b/>
          <w:bCs/>
        </w:rPr>
        <w:t xml:space="preserve">einer</w:t>
      </w:r>
      <w:r>
        <w:t xml:space="preserve"> Referenz, die ihre Verwendung in der Forschung stützt. Bei Datenbank-Matching (z. B. Fuzzy Name Matching mit Patentdaten) werden das Verfahren und die Prüfung der Treffer angegeben.</w:t>
      </w:r>
    </w:p>
    <w:p>
      <w:pPr>
        <w:spacing w:after="120"/>
      </w:pPr>
      <w:r>
        <w:rPr>
          <w:b/>
          <w:bCs/>
        </w:rPr>
        <w:t xml:space="preserve">Glaubwürdigkeit der Quelle in einem Satz</w:t>
      </w:r>
    </w:p>
    <w:p>
      <w:pPr>
        <w:pBdr>
          <w:left w:val="single" w:color="2E6DA4" w:sz="18" w:space="10"/>
        </w:pBdr>
        <w:shd w:fill="F5F7FA" w:color="auto" w:val="clear"/>
        <w:spacing w:after="40" w:before="120"/>
        <w:ind w:left="567" w:right="283"/>
      </w:pPr>
      <w:r>
        <w:rPr>
          <w:i/>
          <w:iCs/>
          <w:color w:val="333333"/>
        </w:rPr>
        <w:t xml:space="preserve">„Crunchbase is a well-established resource for venture research (…) due to its high data quality and inclusion of both funded and unfunded ventures, thereby reducing potential survivorship and selection biases (…).“</w:t>
      </w:r>
    </w:p>
    <w:p>
      <w:pPr>
        <w:spacing w:after="120"/>
        <w:ind w:left="567"/>
        <w:jc w:val="left"/>
      </w:pPr>
      <w:r>
        <w:rPr>
          <w:color w:val="5A6270"/>
          <w:sz w:val="18"/>
          <w:szCs w:val="18"/>
        </w:rPr>
        <w:t xml:space="preserve">— Haeberle et al. (2026, JPIM)</w:t>
      </w:r>
    </w:p>
    <w:p>
      <w:pPr>
        <w:spacing w:after="120"/>
      </w:pPr>
      <w:r>
        <w:rPr>
          <w:b/>
          <w:bCs/>
        </w:rPr>
        <w:t xml:space="preserve">Eine bekannte Lücke der Datenquelle schließen</w:t>
      </w:r>
    </w:p>
    <w:p>
      <w:pPr>
        <w:pBdr>
          <w:left w:val="single" w:color="2E6DA4" w:sz="18" w:space="10"/>
        </w:pBdr>
        <w:shd w:fill="F5F7FA" w:color="auto" w:val="clear"/>
        <w:spacing w:after="40" w:before="120"/>
        <w:ind w:left="567" w:right="283"/>
      </w:pPr>
      <w:r>
        <w:rPr>
          <w:i/>
          <w:iCs/>
          <w:color w:val="333333"/>
        </w:rPr>
        <w:t xml:space="preserve">„In contrast, it has been demonstrated that Crunchbase does not fully capture firm failures, necessitating the application of an extended survival measure (…).“</w:t>
      </w:r>
    </w:p>
    <w:p>
      <w:pPr>
        <w:spacing w:after="120"/>
        <w:ind w:left="567"/>
        <w:jc w:val="left"/>
      </w:pPr>
      <w:r>
        <w:rPr>
          <w:color w:val="5A6270"/>
          <w:sz w:val="18"/>
          <w:szCs w:val="18"/>
        </w:rPr>
        <w:t xml:space="preserve">— Lang et al. (2025, JBV)</w:t>
      </w:r>
    </w:p>
    <w:p>
      <w:pPr>
        <w:spacing w:after="120"/>
      </w:pPr>
      <w:r>
        <w:rPr>
          <w:b/>
          <w:bCs/>
        </w:rPr>
        <w:t xml:space="preserve">Berichten, wie Datenbank-Treffer geprüft wurden</w:t>
      </w:r>
    </w:p>
    <w:p>
      <w:pPr>
        <w:pBdr>
          <w:left w:val="single" w:color="2E6DA4" w:sz="18" w:space="10"/>
        </w:pBdr>
        <w:shd w:fill="F5F7FA" w:color="auto" w:val="clear"/>
        <w:spacing w:after="40" w:before="120"/>
        <w:ind w:left="567" w:right="283"/>
      </w:pPr>
      <w:r>
        <w:rPr>
          <w:i/>
          <w:iCs/>
          <w:color w:val="333333"/>
        </w:rPr>
        <w:t xml:space="preserve">„We chose sensitive settings for our algorithms to prevent overlooked matches but then manually confirmed or rejected all matches. We also validated the confirmed matches for 50 companies through a manual name search in the USPTO's web search, which resulted in 100% consistency with our web search results.“</w:t>
      </w:r>
    </w:p>
    <w:p>
      <w:pPr>
        <w:spacing w:after="120"/>
        <w:ind w:left="567"/>
        <w:jc w:val="left"/>
      </w:pPr>
      <w:r>
        <w:rPr>
          <w:color w:val="5A6270"/>
          <w:sz w:val="18"/>
          <w:szCs w:val="18"/>
        </w:rPr>
        <w:t xml:space="preserve">— Rieger, Dreller &amp; Engelen (2024, JMR)</w:t>
      </w:r>
    </w:p>
    <w:p>
      <w:pPr>
        <w:pStyle w:val="Heading1"/>
        <w:pageBreakBefore/>
      </w:pPr>
      <w:r>
        <w:t xml:space="preserve">4  Messung: AV, UV, Moderator und Mediator</w:t>
      </w:r>
    </w:p>
    <w:p>
      <w:pPr>
        <w:pStyle w:val="Heading2"/>
      </w:pPr>
      <w:r>
        <w:t xml:space="preserve">4.1  Anforderungen</w:t>
      </w:r>
    </w:p>
    <w:p>
      <w:pPr>
        <w:pStyle w:val="ListParagraph"/>
        <w:numPr>
          <w:ilvl w:val="0"/>
          <w:numId w:val="2"/>
        </w:numPr>
        <w:spacing w:after="60"/>
      </w:pPr>
      <w:r>
        <w:rPr>
          <w:b/>
          <w:bCs/>
        </w:rPr>
        <w:t xml:space="preserve">Benennen, nicht theoretisieren.</w:t>
      </w:r>
      <w:r>
        <w:t xml:space="preserve"> Maß, Operationalisierung, Datenquelle und ggf. Transformation werden angegeben. Warum das Konstrukt wichtig ist oder wie es mit den Hypothesen zusammenhängt, gehört in den Theorieteil. Ein Nebensatz, der Maß und Konstrukt verbindet, ist in Ordnung; ein Theorie-Absatz nicht.</w:t>
      </w:r>
    </w:p>
    <w:p>
      <w:pPr>
        <w:pStyle w:val="ListParagraph"/>
        <w:numPr>
          <w:ilvl w:val="0"/>
          <w:numId w:val="2"/>
        </w:numPr>
        <w:spacing w:after="60"/>
      </w:pPr>
      <w:r>
        <w:rPr>
          <w:b/>
          <w:bCs/>
        </w:rPr>
        <w:t xml:space="preserve">Immer die frühere Verwendung zitieren.</w:t>
      </w:r>
      <w:r>
        <w:t xml:space="preserve"> Jedes etablierte Maß nennt eine oder mehrere Studien, die es verwendet haben („following X“, „in line with X and Y“).</w:t>
      </w:r>
    </w:p>
    <w:p>
      <w:pPr>
        <w:pStyle w:val="ListParagraph"/>
        <w:numPr>
          <w:ilvl w:val="0"/>
          <w:numId w:val="2"/>
        </w:numPr>
        <w:spacing w:after="60"/>
      </w:pPr>
      <w:r>
        <w:rPr>
          <w:b/>
          <w:bCs/>
        </w:rPr>
        <w:t xml:space="preserve">Neue Maße brauchen Begründung und Herleitung</w:t>
      </w:r>
      <w:r>
        <w:t xml:space="preserve"> (siehe 4.3).</w:t>
      </w:r>
    </w:p>
    <w:p>
      <w:pPr>
        <w:pStyle w:val="ListParagraph"/>
        <w:numPr>
          <w:ilvl w:val="0"/>
          <w:numId w:val="2"/>
        </w:numPr>
        <w:spacing w:after="60"/>
      </w:pPr>
      <w:r>
        <w:rPr>
          <w:b/>
          <w:bCs/>
        </w:rPr>
        <w:t xml:space="preserve">Transformationen</w:t>
      </w:r>
      <w:r>
        <w:t xml:space="preserve"> (Log, Winsorisieren, Standardisieren, Anteile, Normierung) und ihr Grund stehen im selben Satz.</w:t>
      </w:r>
    </w:p>
    <w:p>
      <w:pPr>
        <w:pStyle w:val="ListParagraph"/>
        <w:numPr>
          <w:ilvl w:val="0"/>
          <w:numId w:val="2"/>
        </w:numPr>
        <w:spacing w:after="60"/>
      </w:pPr>
      <w:r>
        <w:rPr>
          <w:b/>
          <w:bCs/>
        </w:rPr>
        <w:t xml:space="preserve">Bekannte Schwächen eines Proxys</w:t>
      </w:r>
      <w:r>
        <w:t xml:space="preserve"> (z. B. Citation Truncation) werden benannt, die Korrektur in ein bis zwei Sätzen beschrieben.</w:t>
      </w:r>
    </w:p>
    <w:p>
      <w:pPr>
        <w:pStyle w:val="ListParagraph"/>
        <w:numPr>
          <w:ilvl w:val="0"/>
          <w:numId w:val="2"/>
        </w:numPr>
        <w:spacing w:after="60"/>
      </w:pPr>
      <w:r>
        <w:rPr>
          <w:b/>
          <w:bCs/>
        </w:rPr>
        <w:t xml:space="preserve">Konstrukte auf Teamebene:</w:t>
      </w:r>
      <w:r>
        <w:t xml:space="preserve"> Die Aggregationsregel (Mittelwert, Standardabweichung, Maximum, Blau-Index) wird mit Referenz angegeben.</w:t>
      </w:r>
    </w:p>
    <w:p>
      <w:pPr>
        <w:pStyle w:val="ListParagraph"/>
        <w:numPr>
          <w:ilvl w:val="0"/>
          <w:numId w:val="2"/>
        </w:numPr>
        <w:spacing w:after="60"/>
      </w:pPr>
      <w:r>
        <w:rPr>
          <w:b/>
          <w:bCs/>
        </w:rPr>
        <w:t xml:space="preserve">Exakt dieselben Konstruktbezeichnungen</w:t>
      </w:r>
      <w:r>
        <w:t xml:space="preserve"> wie in den Hypothesen.</w:t>
      </w:r>
    </w:p>
    <w:p>
      <w:pPr>
        <w:pStyle w:val="ListParagraph"/>
        <w:numPr>
          <w:ilvl w:val="0"/>
          <w:numId w:val="2"/>
        </w:numPr>
        <w:spacing w:after="60"/>
      </w:pPr>
      <w:r>
        <w:rPr>
          <w:b/>
          <w:bCs/>
        </w:rPr>
        <w:t xml:space="preserve">Übersichtstabelle</w:t>
      </w:r>
      <w:r>
        <w:t xml:space="preserve"> aller Variablen (Name, Operationalisierung, Datenquelle; bei Kontrollen auch die Begründung) ist Lehrstuhl-Norm. Der Text wiederholt nicht, was die Tabelle bereits vollständig sagt.</w:t>
      </w:r>
    </w:p>
    <w:p>
      <w:pPr>
        <w:pStyle w:val="Heading2"/>
      </w:pPr>
      <w:r>
        <w:t xml:space="preserve">4.2  Ein etabliertes Maß benennen</w:t>
      </w:r>
    </w:p>
    <w:p>
      <w:pPr>
        <w:spacing w:after="120"/>
      </w:pPr>
      <w:r>
        <w:rPr>
          <w:b/>
          <w:bCs/>
        </w:rPr>
        <w:t xml:space="preserve">Maß, Operationalisierung, Quelle und frühere Verwendung in einem Satz</w:t>
      </w:r>
    </w:p>
    <w:p>
      <w:pPr>
        <w:pBdr>
          <w:left w:val="single" w:color="2E6DA4" w:sz="18" w:space="10"/>
        </w:pBdr>
        <w:shd w:fill="F5F7FA" w:color="auto" w:val="clear"/>
        <w:spacing w:after="40" w:before="120"/>
        <w:ind w:left="567" w:right="283"/>
      </w:pPr>
      <w:r>
        <w:rPr>
          <w:i/>
          <w:iCs/>
          <w:color w:val="333333"/>
        </w:rPr>
        <w:t xml:space="preserve">„In line with earlier studies (Lafontaine &amp; Shaw, 2016; Symeonidou &amp; Nicolaou, 2018; Toft-Kehler et al., 2014), we measure founding experience as the number of prior ventures founded by any member of the founding team before 2010, based on Crunchbase data and cross-validated via LinkedIn.“</w:t>
      </w:r>
    </w:p>
    <w:p>
      <w:pPr>
        <w:spacing w:after="120"/>
        <w:ind w:left="567"/>
        <w:jc w:val="left"/>
      </w:pPr>
      <w:r>
        <w:rPr>
          <w:color w:val="5A6270"/>
          <w:sz w:val="18"/>
          <w:szCs w:val="18"/>
        </w:rPr>
        <w:t xml:space="preserve">— Brandenburg et al. (2026, ETP)</w:t>
      </w:r>
    </w:p>
    <w:p>
      <w:pPr>
        <w:spacing w:after="120"/>
      </w:pPr>
      <w:r>
        <w:rPr>
          <w:b/>
          <w:bCs/>
        </w:rPr>
        <w:t xml:space="preserve">Binäre UV über eine zitierte Definition</w:t>
      </w:r>
    </w:p>
    <w:p>
      <w:pPr>
        <w:pBdr>
          <w:left w:val="single" w:color="2E6DA4" w:sz="18" w:space="10"/>
        </w:pBdr>
        <w:shd w:fill="F5F7FA" w:color="auto" w:val="clear"/>
        <w:spacing w:after="40" w:before="120"/>
        <w:ind w:left="567" w:right="283"/>
      </w:pPr>
      <w:r>
        <w:rPr>
          <w:i/>
          <w:iCs/>
          <w:color w:val="333333"/>
        </w:rPr>
        <w:t xml:space="preserve">„We used Conti et al.'s (2019) definition of the GFC to code the binary variable foundation during crisis as one if a venture was founded between 2008Q2 and 2009Q4 (i.e., part of the treatment group), and zero otherwise.“</w:t>
      </w:r>
    </w:p>
    <w:p>
      <w:pPr>
        <w:spacing w:after="120"/>
        <w:ind w:left="567"/>
        <w:jc w:val="left"/>
      </w:pPr>
      <w:r>
        <w:rPr>
          <w:color w:val="5A6270"/>
          <w:sz w:val="18"/>
          <w:szCs w:val="18"/>
        </w:rPr>
        <w:t xml:space="preserve">— Haeberle et al. (2026, JPIM)</w:t>
      </w:r>
    </w:p>
    <w:p>
      <w:pPr>
        <w:spacing w:after="120"/>
      </w:pPr>
      <w:r>
        <w:rPr>
          <w:b/>
          <w:bCs/>
        </w:rPr>
        <w:t xml:space="preserve">UV in einem Satz</w:t>
      </w:r>
    </w:p>
    <w:p>
      <w:pPr>
        <w:pBdr>
          <w:left w:val="single" w:color="2E6DA4" w:sz="18" w:space="10"/>
        </w:pBdr>
        <w:shd w:fill="F5F7FA" w:color="auto" w:val="clear"/>
        <w:spacing w:after="40" w:before="120"/>
        <w:ind w:left="567" w:right="283"/>
      </w:pPr>
      <w:r>
        <w:rPr>
          <w:i/>
          <w:iCs/>
          <w:color w:val="333333"/>
        </w:rPr>
        <w:t xml:space="preserve">„We used information in the LSEG EIKON database to measure the number of first and follow-on CVC investments in ventures and aggregated this investment information for each firm-year (Keil, Maula, et al. 2008).“</w:t>
      </w:r>
    </w:p>
    <w:p>
      <w:pPr>
        <w:spacing w:after="120"/>
        <w:ind w:left="567"/>
        <w:jc w:val="left"/>
      </w:pPr>
      <w:r>
        <w:rPr>
          <w:color w:val="5A6270"/>
          <w:sz w:val="18"/>
          <w:szCs w:val="18"/>
        </w:rPr>
        <w:t xml:space="preserve">— Engelen et al. (2026, JPIM)</w:t>
      </w:r>
    </w:p>
    <w:p>
      <w:pPr>
        <w:spacing w:after="120"/>
      </w:pPr>
      <w:r>
        <w:rPr>
          <w:b/>
          <w:bCs/>
        </w:rPr>
        <w:t xml:space="preserve">AV mit früherer Verwendung</w:t>
      </w:r>
    </w:p>
    <w:p>
      <w:pPr>
        <w:pBdr>
          <w:left w:val="single" w:color="2E6DA4" w:sz="18" w:space="10"/>
        </w:pBdr>
        <w:shd w:fill="F5F7FA" w:color="auto" w:val="clear"/>
        <w:spacing w:after="40" w:before="120"/>
        <w:ind w:left="567" w:right="283"/>
      </w:pPr>
      <w:r>
        <w:rPr>
          <w:i/>
          <w:iCs/>
          <w:color w:val="333333"/>
        </w:rPr>
        <w:t xml:space="preserve">„Consistent with prior research, this study operationalizes venture growth by examining employee development (excluding the founding team) over time (Assenova and Amit, 2024).“</w:t>
      </w:r>
    </w:p>
    <w:p>
      <w:pPr>
        <w:spacing w:after="120"/>
        <w:ind w:left="567"/>
        <w:jc w:val="left"/>
      </w:pPr>
      <w:r>
        <w:rPr>
          <w:color w:val="5A6270"/>
          <w:sz w:val="18"/>
          <w:szCs w:val="18"/>
        </w:rPr>
        <w:t xml:space="preserve">— Lang et al. (2025, JBV)</w:t>
      </w:r>
    </w:p>
    <w:p>
      <w:pPr>
        <w:spacing w:after="120"/>
      </w:pPr>
      <w:r>
        <w:rPr>
          <w:b/>
          <w:bCs/>
        </w:rPr>
        <w:t xml:space="preserve">Datenbasierter Grund, zwei AVs getrennt zu halten</w:t>
      </w:r>
    </w:p>
    <w:p>
      <w:pPr>
        <w:pBdr>
          <w:left w:val="single" w:color="2E6DA4" w:sz="18" w:space="10"/>
        </w:pBdr>
        <w:shd w:fill="F5F7FA" w:color="auto" w:val="clear"/>
        <w:spacing w:after="40" w:before="120"/>
        <w:ind w:left="567" w:right="283"/>
      </w:pPr>
      <w:r>
        <w:rPr>
          <w:i/>
          <w:iCs/>
          <w:color w:val="333333"/>
        </w:rPr>
        <w:t xml:space="preserve">„Our two innovation measures are only somewhat positively correlated (r = 0.067), which supports the idea that they relate to two separate constructs (…). Therefore, we report results for both dependent variables separately instead of combining them in an index (…).“</w:t>
      </w:r>
    </w:p>
    <w:p>
      <w:pPr>
        <w:spacing w:after="120"/>
        <w:ind w:left="567"/>
        <w:jc w:val="left"/>
      </w:pPr>
      <w:r>
        <w:rPr>
          <w:color w:val="5A6270"/>
          <w:sz w:val="18"/>
          <w:szCs w:val="18"/>
        </w:rPr>
        <w:t xml:space="preserve">— Osses et al. (2024, JPIM)</w:t>
      </w:r>
    </w:p>
    <w:p>
      <w:pPr>
        <w:spacing w:after="120"/>
      </w:pPr>
      <w:r>
        <w:rPr>
          <w:b/>
          <w:bCs/>
        </w:rPr>
        <w:t xml:space="preserve">Kodierung in einem Nebensatz begründet</w:t>
      </w:r>
    </w:p>
    <w:p>
      <w:pPr>
        <w:pBdr>
          <w:left w:val="single" w:color="2E6DA4" w:sz="18" w:space="10"/>
        </w:pBdr>
        <w:shd w:fill="F5F7FA" w:color="auto" w:val="clear"/>
        <w:spacing w:after="40" w:before="120"/>
        <w:ind w:left="567" w:right="283"/>
      </w:pPr>
      <w:r>
        <w:rPr>
          <w:i/>
          <w:iCs/>
          <w:color w:val="333333"/>
        </w:rPr>
        <w:t xml:space="preserve">„To accommodate our theory's notion that legitimacy is gained by the occurrence of trademarks and not their numbers, we structure trademark applications as a binary variable.“</w:t>
      </w:r>
    </w:p>
    <w:p>
      <w:pPr>
        <w:spacing w:after="120"/>
        <w:ind w:left="567"/>
        <w:jc w:val="left"/>
      </w:pPr>
      <w:r>
        <w:rPr>
          <w:color w:val="5A6270"/>
          <w:sz w:val="18"/>
          <w:szCs w:val="18"/>
        </w:rPr>
        <w:t xml:space="preserve">— Rieger, Dreller &amp; Engelen (2024, JMR)</w:t>
      </w:r>
    </w:p>
    <w:p>
      <w:pPr>
        <w:spacing w:after="140"/>
      </w:pPr>
      <w:r>
        <w:rPr>
          <w:b/>
          <w:bCs/>
          <w:color w:val="2E6DA4"/>
        </w:rPr>
        <w:t xml:space="preserve">Technik: </w:t>
      </w:r>
      <w:r>
        <w:t xml:space="preserve">Ein Nebensatz verbindet die Kodierung mit der Theorie; die Theorie wird nicht neu argumentiert.</w:t>
      </w:r>
    </w:p>
    <w:p>
      <w:pPr>
        <w:spacing w:after="120"/>
      </w:pPr>
      <w:r>
        <w:rPr>
          <w:b/>
          <w:bCs/>
        </w:rPr>
        <w:t xml:space="preserve">Gegenbeispiel: Theorie im Messungsteil wiederholt</w:t>
      </w:r>
    </w:p>
    <w:p>
      <w:pPr>
        <w:pBdr>
          <w:left w:val="single" w:color="2E6DA4" w:sz="18" w:space="10"/>
        </w:pBdr>
        <w:shd w:fill="F5F7FA" w:color="auto" w:val="clear"/>
        <w:spacing w:after="40" w:before="120"/>
        <w:ind w:left="567" w:right="283"/>
      </w:pPr>
      <w:r>
        <w:rPr>
          <w:i/>
          <w:iCs/>
          <w:color w:val="333333"/>
        </w:rPr>
        <w:t xml:space="preserve">„In particular, we argued that CEOs with founding experience are prone to paying attention to innovation—that is, innovation is likely to be part of their field of vision—and, ceteris paribus, are more likely to implement innovation activities successfully—that is, they are more likely to take actions related to the pursuit of innovation than actions that benefit other firm functions.“</w:t>
      </w:r>
    </w:p>
    <w:p>
      <w:pPr>
        <w:spacing w:after="120"/>
        <w:ind w:left="567"/>
        <w:jc w:val="left"/>
      </w:pPr>
      <w:r>
        <w:rPr>
          <w:color w:val="5A6270"/>
          <w:sz w:val="18"/>
          <w:szCs w:val="18"/>
        </w:rPr>
        <w:t xml:space="preserve">— Osses et al. (2024, JPIM)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Diese Passage wiederholt die Hypothesenlogik. Nach der Lehrstuhl-Regel würde der Messungsteil die beiden Maße und ihre Quellen direkt benennen.</w:t>
            </w:r>
          </w:p>
        </w:tc>
      </w:tr>
    </w:tbl>
    <w:p>
      <w:pPr>
        <w:spacing w:after="80"/>
      </w:pPr>
    </w:p>
    <w:p>
      <w:pPr>
        <w:pStyle w:val="Heading2"/>
      </w:pPr>
      <w:r>
        <w:t xml:space="preserve">4.3  Ein neues Maß herleiten und validieren</w:t>
      </w:r>
    </w:p>
    <w:p>
      <w:pPr>
        <w:spacing w:after="120"/>
      </w:pPr>
      <w:r>
        <w:t xml:space="preserve">Ist ein Maß neu im Feld, neu konstruiert oder substanziell an ein neues Setting angepasst, erklärt der Methodenteil, </w:t>
      </w:r>
      <w:r>
        <w:rPr>
          <w:b/>
          <w:bCs/>
        </w:rPr>
        <w:t xml:space="preserve">wie es hergeleitet wurde</w:t>
      </w:r>
      <w:r>
        <w:t xml:space="preserve"> (welche Inputs, warum diese, wie kombiniert) und liefert </w:t>
      </w:r>
      <w:r>
        <w:rPr>
          <w:b/>
          <w:bCs/>
        </w:rPr>
        <w:t xml:space="preserve">Validierungsevidenz im Verhältnis zur Neuheit</w:t>
      </w:r>
      <w:r>
        <w:t xml:space="preserve">. Mögliche Evidenz: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38"/>
      </w:tblGrid>
      <w:tr>
        <w:trPr>
          <w:tblHeader/>
        </w:trPr>
        <w:tc>
          <w:tcPr>
            <w:tcW w:type="dxa" w:w="34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Art der Validierung</w:t>
            </w:r>
          </w:p>
        </w:tc>
        <w:tc>
          <w:tcPr>
            <w:tcW w:type="dxa" w:w="33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Was sie zeigt</w:t>
            </w:r>
          </w:p>
        </w:tc>
        <w:tc>
          <w:tcPr>
            <w:tcW w:type="dxa" w:w="29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Lehrstuhl-Beispiel</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Faktorenanalyse (z. B. CFA)</w:t>
            </w:r>
          </w:p>
        </w:tc>
        <w:tc>
          <w:tcPr>
            <w:tcW w:type="dxa" w:w="3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Struktur bzw. Eindimensionalität</w:t>
            </w:r>
          </w:p>
        </w:tc>
        <w:tc>
          <w:tcPr>
            <w:tcW w:type="dxa" w:w="29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Lang et al. (2025)</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Korrelation mit Survey-Maßen in einer Teilstichprobe</w:t>
            </w:r>
          </w:p>
        </w:tc>
        <w:tc>
          <w:tcPr>
            <w:tcW w:type="dxa" w:w="3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Kriteriumsvalidität</w:t>
            </w:r>
          </w:p>
        </w:tc>
        <w:tc>
          <w:tcPr>
            <w:tcW w:type="dxa" w:w="29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Lang et al. (2025); Brandenburg et al. (2026)</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Konvergente/diskriminante Validität mit unabhängiger Quelle</w:t>
            </w:r>
          </w:p>
        </w:tc>
        <w:tc>
          <w:tcPr>
            <w:tcW w:type="dxa" w:w="3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Das Maß misst das Richtige und nicht etwas anderes</w:t>
            </w:r>
          </w:p>
        </w:tc>
        <w:tc>
          <w:tcPr>
            <w:tcW w:type="dxa" w:w="29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Lang et al. (2025)</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Interrater- bzw. Modell-Rater-Übereinstimmung</w:t>
            </w:r>
          </w:p>
        </w:tc>
        <w:tc>
          <w:tcPr>
            <w:tcW w:type="dxa" w:w="3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Zuverlässigkeit von Kodierung oder Textmaß</w:t>
            </w:r>
          </w:p>
        </w:tc>
        <w:tc>
          <w:tcPr>
            <w:tcW w:type="dxa" w:w="29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Engelen et al. (2026)</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Known-Case-Checks</w:t>
            </w:r>
          </w:p>
        </w:tc>
        <w:tc>
          <w:tcPr>
            <w:tcW w:type="dxa" w:w="3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Bekannte Fälle erhalten erwartete Werte</w:t>
            </w:r>
          </w:p>
        </w:tc>
        <w:tc>
          <w:tcPr>
            <w:tcW w:type="dxa" w:w="29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(2026)</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Stabilität über Teilstichproben</w:t>
            </w:r>
          </w:p>
        </w:tc>
        <w:tc>
          <w:tcPr>
            <w:tcW w:type="dxa" w:w="3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Robustheit des Messverfahrens</w:t>
            </w:r>
          </w:p>
        </w:tc>
        <w:tc>
          <w:tcPr>
            <w:tcW w:type="dxa" w:w="29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Winkler et al. (2020)</w:t>
            </w:r>
          </w:p>
        </w:tc>
      </w:tr>
    </w:tbl>
    <w:p>
      <w:pPr>
        <w:spacing w:after="120"/>
      </w:pPr>
    </w:p>
    <w:p>
      <w:pPr>
        <w:spacing w:after="120"/>
      </w:pPr>
      <w:r>
        <w:t xml:space="preserve">Validierungsdetails können in den Anhang; die </w:t>
      </w:r>
      <w:r>
        <w:rPr>
          <w:b/>
          <w:bCs/>
        </w:rPr>
        <w:t xml:space="preserve">zentralen Kennzahlen stehen im Text</w:t>
      </w:r>
      <w:r>
        <w:t xml:space="preserve">.</w:t>
      </w:r>
    </w:p>
    <w:p>
      <w:pPr>
        <w:spacing w:after="120"/>
      </w:pPr>
      <w:r>
        <w:rPr>
          <w:b/>
          <w:bCs/>
        </w:rPr>
        <w:t xml:space="preserve">Herleitung eines konstruierten Maßes, Details im Anhang</w:t>
      </w:r>
    </w:p>
    <w:p>
      <w:pPr>
        <w:pBdr>
          <w:left w:val="single" w:color="2E6DA4" w:sz="18" w:space="10"/>
        </w:pBdr>
        <w:shd w:fill="F5F7FA" w:color="auto" w:val="clear"/>
        <w:spacing w:after="40" w:before="120"/>
        <w:ind w:left="567" w:right="283"/>
      </w:pPr>
      <w:r>
        <w:rPr>
          <w:i/>
          <w:iCs/>
          <w:color w:val="333333"/>
        </w:rPr>
        <w:t xml:space="preserve">„Following extant literature, we leveraged social network analysis to identify prominent VC firms (…) as they tend to have greater access to non-financial resources (…). Our proxy uses VC firms' eigenvector centrality scores (Bonacich 1972) based on five-year rolling co-investment networks (…).“</w:t>
      </w:r>
    </w:p>
    <w:p>
      <w:pPr>
        <w:spacing w:after="120"/>
        <w:ind w:left="567"/>
        <w:jc w:val="left"/>
      </w:pPr>
      <w:r>
        <w:rPr>
          <w:color w:val="5A6270"/>
          <w:sz w:val="18"/>
          <w:szCs w:val="18"/>
        </w:rPr>
        <w:t xml:space="preserve">— Haeberle et al. (2026, JPIM)</w:t>
      </w:r>
    </w:p>
    <w:p>
      <w:pPr>
        <w:pBdr>
          <w:left w:val="single" w:color="2E6DA4" w:sz="18" w:space="10"/>
        </w:pBdr>
        <w:shd w:fill="F5F7FA" w:color="auto" w:val="clear"/>
        <w:spacing w:after="40" w:before="120"/>
        <w:ind w:left="567" w:right="283"/>
      </w:pPr>
      <w:r>
        <w:rPr>
          <w:i/>
          <w:iCs/>
          <w:color w:val="333333"/>
        </w:rPr>
        <w:t xml:space="preserve">„Based on this data, we classified VC firms as prominent if they ranked in the top 10% with regard to their eigenvector centrality score and ultimately computed the number of prominent VC firms (lagged by 1 year) that had invested in each venture in our dataset up to a given year.“</w:t>
      </w:r>
    </w:p>
    <w:p>
      <w:pPr>
        <w:spacing w:after="120"/>
        <w:ind w:left="567"/>
        <w:jc w:val="left"/>
      </w:pPr>
      <w:r>
        <w:rPr>
          <w:color w:val="5A6270"/>
          <w:sz w:val="18"/>
          <w:szCs w:val="18"/>
        </w:rPr>
        <w:t xml:space="preserve">— Haeberle et al. (2026, JPIM)</w:t>
      </w:r>
    </w:p>
    <w:p>
      <w:pPr>
        <w:spacing w:after="120"/>
      </w:pPr>
      <w:r>
        <w:rPr>
          <w:b/>
          <w:bCs/>
        </w:rPr>
        <w:t xml:space="preserve">Herleitung eines mehrdimensionalen Index</w:t>
      </w:r>
    </w:p>
    <w:p>
      <w:pPr>
        <w:pBdr>
          <w:left w:val="single" w:color="2E6DA4" w:sz="18" w:space="10"/>
        </w:pBdr>
        <w:shd w:fill="F5F7FA" w:color="auto" w:val="clear"/>
        <w:spacing w:after="40" w:before="120"/>
        <w:ind w:left="567" w:right="283"/>
      </w:pPr>
      <w:r>
        <w:rPr>
          <w:i/>
          <w:iCs/>
          <w:color w:val="333333"/>
        </w:rPr>
        <w:t xml:space="preserve">„We used principal component analysis (PCA), a widely used method for aggregating multidimensional constructs while accounting for the data's underlying structure (…), to operationalize each dimension based on multiple inputs from our archival data.“</w:t>
      </w:r>
    </w:p>
    <w:p>
      <w:pPr>
        <w:spacing w:after="120"/>
        <w:ind w:left="567"/>
        <w:jc w:val="left"/>
      </w:pPr>
      <w:r>
        <w:rPr>
          <w:color w:val="5A6270"/>
          <w:sz w:val="18"/>
          <w:szCs w:val="18"/>
        </w:rPr>
        <w:t xml:space="preserve">— Brandenburg et al. (2026, ETP)</w:t>
      </w:r>
    </w:p>
    <w:p>
      <w:pPr>
        <w:spacing w:after="120"/>
      </w:pPr>
      <w:r>
        <w:rPr>
          <w:b/>
          <w:bCs/>
        </w:rPr>
        <w:t xml:space="preserve">Die vollständigste Validierungssequenz</w:t>
      </w:r>
      <w:r>
        <w:t xml:space="preserve"> (LinkedIn-basierter Narzissmus-Index, an Gründer angepasst)</w:t>
      </w:r>
    </w:p>
    <w:p>
      <w:pPr>
        <w:pStyle w:val="ListParagraph"/>
        <w:numPr>
          <w:ilvl w:val="0"/>
          <w:numId w:val="5"/>
        </w:numPr>
        <w:spacing w:after="60"/>
      </w:pPr>
      <w:r>
        <w:t xml:space="preserve">Passung zur ursprünglichen Validierungsstichprobe</w:t>
      </w:r>
    </w:p>
    <w:p>
      <w:pPr>
        <w:pStyle w:val="ListParagraph"/>
        <w:numPr>
          <w:ilvl w:val="0"/>
          <w:numId w:val="5"/>
        </w:numPr>
        <w:spacing w:after="60"/>
      </w:pPr>
      <w:r>
        <w:t xml:space="preserve">Struktur (konfirmatorische Faktorenanalyse)</w:t>
      </w:r>
    </w:p>
    <w:p>
      <w:pPr>
        <w:pStyle w:val="ListParagraph"/>
        <w:numPr>
          <w:ilvl w:val="0"/>
          <w:numId w:val="5"/>
        </w:numPr>
        <w:spacing w:after="60"/>
      </w:pPr>
      <w:r>
        <w:t xml:space="preserve">Survey-Kriterium (Korrelation mit Survey-Narzissmus)</w:t>
      </w:r>
    </w:p>
    <w:p>
      <w:pPr>
        <w:pStyle w:val="ListParagraph"/>
        <w:numPr>
          <w:ilvl w:val="0"/>
          <w:numId w:val="5"/>
        </w:numPr>
        <w:spacing w:after="60"/>
      </w:pPr>
      <w:r>
        <w:t xml:space="preserve">Diskriminante Validität (negativer Zusammenhang mit Empathie)</w:t>
      </w:r>
    </w:p>
    <w:p>
      <w:pPr>
        <w:pBdr>
          <w:left w:val="single" w:color="2E6DA4" w:sz="18" w:space="10"/>
        </w:pBdr>
        <w:shd w:fill="F5F7FA" w:color="auto" w:val="clear"/>
        <w:spacing w:after="40" w:before="120"/>
        <w:ind w:left="567" w:right="283"/>
      </w:pPr>
      <w:r>
        <w:rPr>
          <w:i/>
          <w:iCs/>
          <w:color w:val="333333"/>
        </w:rPr>
        <w:t xml:space="preserve">„Importantly, our sample is comparable to the original validation sample: the share of founders without a LinkedIn profile (15 %) closely mirrors that of corporate TMTs (17 %), suggesting no systematic differences in platform adoption.“</w:t>
      </w:r>
    </w:p>
    <w:p>
      <w:pPr>
        <w:spacing w:after="120"/>
        <w:ind w:left="567"/>
        <w:jc w:val="left"/>
      </w:pPr>
      <w:r>
        <w:rPr>
          <w:color w:val="5A6270"/>
          <w:sz w:val="18"/>
          <w:szCs w:val="18"/>
        </w:rPr>
        <w:t xml:space="preserve">— Lang et al. (2025, JBV)</w:t>
      </w:r>
    </w:p>
    <w:p>
      <w:pPr>
        <w:pBdr>
          <w:left w:val="single" w:color="2E6DA4" w:sz="18" w:space="10"/>
        </w:pBdr>
        <w:shd w:fill="F5F7FA" w:color="auto" w:val="clear"/>
        <w:spacing w:after="40" w:before="120"/>
        <w:ind w:left="567" w:right="283"/>
      </w:pPr>
      <w:r>
        <w:rPr>
          <w:i/>
          <w:iCs/>
          <w:color w:val="333333"/>
        </w:rPr>
        <w:t xml:space="preserve">„A confirmatory factor analysis further supports the construct's unidimensionality in our setting (CFI = 0.998, TLI = 0.997, RMSEA = 0.012, SRMR = 0.009) (…).“</w:t>
      </w:r>
    </w:p>
    <w:p>
      <w:pPr>
        <w:spacing w:after="120"/>
        <w:ind w:left="567"/>
        <w:jc w:val="left"/>
      </w:pPr>
      <w:r>
        <w:rPr>
          <w:color w:val="5A6270"/>
          <w:sz w:val="18"/>
          <w:szCs w:val="18"/>
        </w:rPr>
        <w:t xml:space="preserve">— Lang et al. (2025, JBV)</w:t>
      </w:r>
    </w:p>
    <w:p>
      <w:pPr>
        <w:pBdr>
          <w:left w:val="single" w:color="2E6DA4" w:sz="18" w:space="10"/>
        </w:pBdr>
        <w:shd w:fill="F5F7FA" w:color="auto" w:val="clear"/>
        <w:spacing w:after="40" w:before="120"/>
        <w:ind w:left="567" w:right="283"/>
      </w:pPr>
      <w:r>
        <w:rPr>
          <w:i/>
          <w:iCs/>
          <w:color w:val="333333"/>
        </w:rPr>
        <w:t xml:space="preserve">„The narcissism scores exhibited a significant positive correlation with our LinkedIn-based narcissism measure (r = 0.329, p &lt; .01). For context, prior research suggests that correlations of around 0.30 represent the upper range of typical effect sizes and provide strong evidence of validity (…).“</w:t>
      </w:r>
    </w:p>
    <w:p>
      <w:pPr>
        <w:spacing w:after="120"/>
        <w:ind w:left="567"/>
        <w:jc w:val="left"/>
      </w:pPr>
      <w:r>
        <w:rPr>
          <w:color w:val="5A6270"/>
          <w:sz w:val="18"/>
          <w:szCs w:val="18"/>
        </w:rPr>
        <w:t xml:space="preserve">— Lang et al. (2025, JBV)</w:t>
      </w:r>
    </w:p>
    <w:p>
      <w:pPr>
        <w:pBdr>
          <w:left w:val="single" w:color="2E6DA4" w:sz="18" w:space="10"/>
        </w:pBdr>
        <w:shd w:fill="F5F7FA" w:color="auto" w:val="clear"/>
        <w:spacing w:after="40" w:before="120"/>
        <w:ind w:left="567" w:right="283"/>
      </w:pPr>
      <w:r>
        <w:rPr>
          <w:i/>
          <w:iCs/>
          <w:color w:val="333333"/>
        </w:rPr>
        <w:t xml:space="preserve">„To clarify the discriminant validity of our measure, we also used a dictionary for empathy (…) to confirm that our measure of narcissism (as expected) is negatively related to it.“</w:t>
      </w:r>
    </w:p>
    <w:p>
      <w:pPr>
        <w:spacing w:after="120"/>
        <w:ind w:left="567"/>
        <w:jc w:val="left"/>
      </w:pPr>
      <w:r>
        <w:rPr>
          <w:color w:val="5A6270"/>
          <w:sz w:val="18"/>
          <w:szCs w:val="18"/>
        </w:rPr>
        <w:t xml:space="preserve">— Lang et al. (2025, JBV)</w:t>
      </w:r>
    </w:p>
    <w:p>
      <w:pPr>
        <w:spacing w:after="140"/>
      </w:pPr>
      <w:r>
        <w:rPr>
          <w:b/>
          <w:bCs/>
          <w:color w:val="2E6DA4"/>
        </w:rPr>
        <w:t xml:space="preserve">Technik: </w:t>
      </w:r>
      <w:r>
        <w:t xml:space="preserve">Struktur → Kriterium → konvergent → diskriminant, jeweils mit einem Benchmark zur Einordnung der Zahl. Deshalb liegt Lang et al. am oberen Ende des Längen-Benchmarks – und genau diese Art von Grund rechtfertigt einen längeren Methodenteil.</w:t>
      </w:r>
    </w:p>
    <w:p>
      <w:pPr>
        <w:spacing w:after="120"/>
      </w:pPr>
      <w:r>
        <w:rPr>
          <w:b/>
          <w:bCs/>
        </w:rPr>
        <w:t xml:space="preserve">Textbasiertes Maß mit Modell-Ratern und bekannten Fällen validieren</w:t>
      </w:r>
    </w:p>
    <w:p>
      <w:pPr>
        <w:pBdr>
          <w:left w:val="single" w:color="2E6DA4" w:sz="18" w:space="10"/>
        </w:pBdr>
        <w:shd w:fill="F5F7FA" w:color="auto" w:val="clear"/>
        <w:spacing w:after="40" w:before="120"/>
        <w:ind w:left="567" w:right="283"/>
      </w:pPr>
      <w:r>
        <w:rPr>
          <w:i/>
          <w:iCs/>
          <w:color w:val="333333"/>
        </w:rPr>
        <w:t xml:space="preserve">„First, we used two generative AI chatbots (ChatGPT and Claude) to evaluate three subsamples of MD&amp;A sections using zero-shot and few-shot prompts (…) with regard to their degree of business model innovation on a scale from 1 (low) to 7 (high).“</w:t>
      </w:r>
    </w:p>
    <w:p>
      <w:pPr>
        <w:spacing w:after="120"/>
        <w:ind w:left="567"/>
        <w:jc w:val="left"/>
      </w:pPr>
      <w:r>
        <w:rPr>
          <w:color w:val="5A6270"/>
          <w:sz w:val="18"/>
          <w:szCs w:val="18"/>
        </w:rPr>
        <w:t xml:space="preserve">— Engelen et al. (2026, JPIM)</w:t>
      </w:r>
    </w:p>
    <w:p>
      <w:pPr>
        <w:pBdr>
          <w:left w:val="single" w:color="2E6DA4" w:sz="18" w:space="10"/>
        </w:pBdr>
        <w:shd w:fill="F5F7FA" w:color="auto" w:val="clear"/>
        <w:spacing w:after="40" w:before="120"/>
        <w:ind w:left="567" w:right="283"/>
      </w:pPr>
      <w:r>
        <w:rPr>
          <w:i/>
          <w:iCs/>
          <w:color w:val="333333"/>
        </w:rPr>
        <w:t xml:space="preserve">„Second, we conducted a web search to identify well-known examples of business model innovation (e.g., Adobe's prominent move to transform its products into a subscription model) and then checked whether these innovations are mentioned in the corresponding MD&amp;A sections and whether those sections received high ratings.“</w:t>
      </w:r>
    </w:p>
    <w:p>
      <w:pPr>
        <w:spacing w:after="120"/>
        <w:ind w:left="567"/>
        <w:jc w:val="left"/>
      </w:pPr>
      <w:r>
        <w:rPr>
          <w:color w:val="5A6270"/>
          <w:sz w:val="18"/>
          <w:szCs w:val="18"/>
        </w:rPr>
        <w:t xml:space="preserve">— Engelen et al. (2026, JPIM)</w:t>
      </w:r>
    </w:p>
    <w:p>
      <w:pPr>
        <w:spacing w:after="120"/>
      </w:pPr>
      <w:r>
        <w:rPr>
          <w:b/>
          <w:bCs/>
        </w:rPr>
        <w:t xml:space="preserve">Survey-Validierung eines Archivmaßes</w:t>
      </w:r>
    </w:p>
    <w:p>
      <w:pPr>
        <w:pBdr>
          <w:left w:val="single" w:color="2E6DA4" w:sz="18" w:space="10"/>
        </w:pBdr>
        <w:shd w:fill="F5F7FA" w:color="auto" w:val="clear"/>
        <w:spacing w:after="40" w:before="120"/>
        <w:ind w:left="567" w:right="283"/>
      </w:pPr>
      <w:r>
        <w:rPr>
          <w:i/>
          <w:iCs/>
          <w:color w:val="333333"/>
        </w:rPr>
        <w:t xml:space="preserve">„These values exceed the r &gt; .20 benchmark often used as evidence of convergence across independent data sources (…).“</w:t>
      </w:r>
    </w:p>
    <w:p>
      <w:pPr>
        <w:spacing w:after="120"/>
        <w:ind w:left="567"/>
        <w:jc w:val="left"/>
      </w:pPr>
      <w:r>
        <w:rPr>
          <w:color w:val="5A6270"/>
          <w:sz w:val="18"/>
          <w:szCs w:val="18"/>
        </w:rPr>
        <w:t xml:space="preserve">— Brandenburg et al. (2026, ETP)</w:t>
      </w:r>
    </w:p>
    <w:p>
      <w:pPr>
        <w:spacing w:after="120"/>
      </w:pPr>
      <w:r>
        <w:rPr>
          <w:b/>
          <w:bCs/>
        </w:rPr>
        <w:t xml:space="preserve">Machine-Learning-Klassifikation mit Trainingsbasis</w:t>
      </w:r>
    </w:p>
    <w:p>
      <w:pPr>
        <w:pBdr>
          <w:left w:val="single" w:color="2E6DA4" w:sz="18" w:space="10"/>
        </w:pBdr>
        <w:shd w:fill="F5F7FA" w:color="auto" w:val="clear"/>
        <w:spacing w:after="40" w:before="120"/>
        <w:ind w:left="567" w:right="283"/>
      </w:pPr>
      <w:r>
        <w:rPr>
          <w:i/>
          <w:iCs/>
          <w:color w:val="333333"/>
        </w:rPr>
        <w:t xml:space="preserve">„We then classified all job titles using a RoBERTa-based NLP model, trained on approximately 8,000 hand-coded cases (i.e., until the approach was sufficiently reliable) and validated through manual checks (…).“</w:t>
      </w:r>
    </w:p>
    <w:p>
      <w:pPr>
        <w:spacing w:after="120"/>
        <w:ind w:left="567"/>
        <w:jc w:val="left"/>
      </w:pPr>
      <w:r>
        <w:rPr>
          <w:color w:val="5A6270"/>
          <w:sz w:val="18"/>
          <w:szCs w:val="18"/>
        </w:rPr>
        <w:t xml:space="preserve">— Brandenburg et al. (2026, ETP)</w:t>
      </w:r>
    </w:p>
    <w:p>
      <w:pPr>
        <w:spacing w:after="120"/>
      </w:pPr>
      <w:r>
        <w:rPr>
          <w:b/>
          <w:bCs/>
        </w:rPr>
        <w:t xml:space="preserve">Stabilität über Teilstichproben</w:t>
      </w:r>
    </w:p>
    <w:p>
      <w:pPr>
        <w:pBdr>
          <w:left w:val="single" w:color="2E6DA4" w:sz="18" w:space="10"/>
        </w:pBdr>
        <w:shd w:fill="F5F7FA" w:color="auto" w:val="clear"/>
        <w:spacing w:after="40" w:before="120"/>
        <w:ind w:left="567" w:right="283"/>
      </w:pPr>
      <w:r>
        <w:rPr>
          <w:i/>
          <w:iCs/>
          <w:color w:val="333333"/>
        </w:rPr>
        <w:t xml:space="preserve">„Doing so allowed us to conduct another validation of the measurement method by comparing these three subsamples for the 287 CMOs for which we had more than 15,000 words, which indicated high stability in the measurements.“</w:t>
      </w:r>
    </w:p>
    <w:p>
      <w:pPr>
        <w:spacing w:after="120"/>
        <w:ind w:left="567"/>
        <w:jc w:val="left"/>
      </w:pPr>
      <w:r>
        <w:rPr>
          <w:color w:val="5A6270"/>
          <w:sz w:val="18"/>
          <w:szCs w:val="18"/>
        </w:rPr>
        <w:t xml:space="preserve">— Winkler, Rieger &amp; Engelen (2020, JAMS)</w:t>
      </w:r>
    </w:p>
    <w:p>
      <w:pPr>
        <w:pStyle w:val="Heading2"/>
      </w:pPr>
      <w:r>
        <w:t xml:space="preserve">4.4  Transformationen und Schwächen von Proxys</w:t>
      </w:r>
    </w:p>
    <w:p>
      <w:pPr>
        <w:spacing w:after="120"/>
      </w:pPr>
      <w:r>
        <w:rPr>
          <w:b/>
          <w:bCs/>
        </w:rPr>
        <w:t xml:space="preserve">Schwäche benannt, Korrektur angegeben</w:t>
      </w:r>
    </w:p>
    <w:p>
      <w:pPr>
        <w:pBdr>
          <w:left w:val="single" w:color="2E6DA4" w:sz="18" w:space="10"/>
        </w:pBdr>
        <w:shd w:fill="F5F7FA" w:color="auto" w:val="clear"/>
        <w:spacing w:after="40" w:before="120"/>
        <w:ind w:left="567" w:right="283"/>
      </w:pPr>
      <w:r>
        <w:rPr>
          <w:i/>
          <w:iCs/>
          <w:color w:val="333333"/>
        </w:rPr>
        <w:t xml:space="preserve">„To address this concern, we followed Hall et al. (2001) by dividing the number of each patent's forward citations by the average number of forward citations received by all other patents in the USPTO database filed in the same application year and technology class.“</w:t>
      </w:r>
    </w:p>
    <w:p>
      <w:pPr>
        <w:spacing w:after="120"/>
        <w:ind w:left="567"/>
        <w:jc w:val="left"/>
      </w:pPr>
      <w:r>
        <w:rPr>
          <w:color w:val="5A6270"/>
          <w:sz w:val="18"/>
          <w:szCs w:val="18"/>
        </w:rPr>
        <w:t xml:space="preserve">— Haeberle et al. (2026, JPIM)</w:t>
      </w:r>
    </w:p>
    <w:p>
      <w:pPr>
        <w:spacing w:after="120"/>
      </w:pPr>
      <w:r>
        <w:rPr>
          <w:b/>
          <w:bCs/>
        </w:rPr>
        <w:t xml:space="preserve">Wahl des Datums, Grund im selben Satz</w:t>
      </w:r>
    </w:p>
    <w:p>
      <w:pPr>
        <w:pBdr>
          <w:left w:val="single" w:color="2E6DA4" w:sz="18" w:space="10"/>
        </w:pBdr>
        <w:shd w:fill="F5F7FA" w:color="auto" w:val="clear"/>
        <w:spacing w:after="40" w:before="120"/>
        <w:ind w:left="567" w:right="283"/>
      </w:pPr>
      <w:r>
        <w:rPr>
          <w:i/>
          <w:iCs/>
          <w:color w:val="333333"/>
        </w:rPr>
        <w:t xml:space="preserve">„We used patent applications, rather than the grant date, to capture a venture's engagement in knowledge creation and technological advancement closely to when the engagement occurred (…).“</w:t>
      </w:r>
    </w:p>
    <w:p>
      <w:pPr>
        <w:spacing w:after="120"/>
        <w:ind w:left="567"/>
        <w:jc w:val="left"/>
      </w:pPr>
      <w:r>
        <w:rPr>
          <w:color w:val="5A6270"/>
          <w:sz w:val="18"/>
          <w:szCs w:val="18"/>
        </w:rPr>
        <w:t xml:space="preserve">— Brandenburg et al. (2026, ETP)</w:t>
      </w:r>
    </w:p>
    <w:p>
      <w:pPr>
        <w:spacing w:after="120"/>
      </w:pPr>
      <w:r>
        <w:rPr>
          <w:b/>
          <w:bCs/>
        </w:rPr>
        <w:t xml:space="preserve">Transformation und Grund</w:t>
      </w:r>
    </w:p>
    <w:p>
      <w:pPr>
        <w:pBdr>
          <w:left w:val="single" w:color="2E6DA4" w:sz="18" w:space="10"/>
        </w:pBdr>
        <w:shd w:fill="F5F7FA" w:color="auto" w:val="clear"/>
        <w:spacing w:after="40" w:before="120"/>
        <w:ind w:left="567" w:right="283"/>
      </w:pPr>
      <w:r>
        <w:rPr>
          <w:i/>
          <w:iCs/>
          <w:color w:val="333333"/>
        </w:rPr>
        <w:t xml:space="preserve">„The independent variables are the first CVC investment and any follow-on CVC investment in t, measured as the number of investments per year by the focal investing firm, winsorized at the 1% level (…).“</w:t>
      </w:r>
    </w:p>
    <w:p>
      <w:pPr>
        <w:spacing w:after="120"/>
        <w:ind w:left="567"/>
        <w:jc w:val="left"/>
      </w:pPr>
      <w:r>
        <w:rPr>
          <w:color w:val="5A6270"/>
          <w:sz w:val="18"/>
          <w:szCs w:val="18"/>
        </w:rPr>
        <w:t xml:space="preserve">— Engelen et al. (2026, JPIM)</w:t>
      </w:r>
    </w:p>
    <w:p>
      <w:pPr>
        <w:pStyle w:val="Heading2"/>
      </w:pPr>
      <w:r>
        <w:t xml:space="preserve">4.5  Aggregation auf Teamebene</w:t>
      </w:r>
    </w:p>
    <w:p>
      <w:pPr>
        <w:pBdr>
          <w:left w:val="single" w:color="2E6DA4" w:sz="18" w:space="10"/>
        </w:pBdr>
        <w:shd w:fill="F5F7FA" w:color="auto" w:val="clear"/>
        <w:spacing w:after="40" w:before="120"/>
        <w:ind w:left="567" w:right="283"/>
      </w:pPr>
      <w:r>
        <w:rPr>
          <w:i/>
          <w:iCs/>
          <w:color w:val="333333"/>
        </w:rPr>
        <w:t xml:space="preserve">„Our approach aligns with best practice recommendations for measuring separation-type diversity, which characterizes intra-team differences in attitudes, beliefs, and values (Harrison and Klein, 2007).“</w:t>
      </w:r>
    </w:p>
    <w:p>
      <w:pPr>
        <w:spacing w:after="120"/>
        <w:ind w:left="567"/>
        <w:jc w:val="left"/>
      </w:pPr>
      <w:r>
        <w:rPr>
          <w:color w:val="5A6270"/>
          <w:sz w:val="18"/>
          <w:szCs w:val="18"/>
        </w:rPr>
        <w:t xml:space="preserve">— Lang et al. (2025, JBV)</w:t>
      </w:r>
    </w:p>
    <w:p>
      <w:pPr>
        <w:spacing w:after="140"/>
      </w:pPr>
      <w:r>
        <w:rPr>
          <w:b/>
          <w:bCs/>
          <w:color w:val="2E6DA4"/>
        </w:rPr>
        <w:t xml:space="preserve">Technik: </w:t>
      </w:r>
      <w:r>
        <w:t xml:space="preserve">Die Aggregationsregel wird mit einer Best-Practice-Quelle begründet, nicht ausführlich hergeleitet.</w:t>
      </w:r>
    </w:p>
    <w:p>
      <w:pPr>
        <w:pStyle w:val="Heading1"/>
        <w:pageBreakBefore/>
      </w:pPr>
      <w:r>
        <w:t xml:space="preserve">5  Kontrollvariablen</w:t>
      </w:r>
    </w:p>
    <w:p>
      <w:pPr>
        <w:pStyle w:val="Heading2"/>
      </w:pPr>
      <w:r>
        <w:t xml:space="preserve">5.1  Anforderungen</w:t>
      </w:r>
    </w:p>
    <w:p>
      <w:pPr>
        <w:pStyle w:val="ListParagraph"/>
        <w:numPr>
          <w:ilvl w:val="0"/>
          <w:numId w:val="2"/>
        </w:numPr>
        <w:spacing w:after="60"/>
      </w:pPr>
      <w:r>
        <w:t xml:space="preserve">Für </w:t>
      </w:r>
      <w:r>
        <w:rPr>
          <w:b/>
          <w:bCs/>
        </w:rPr>
        <w:t xml:space="preserve">jede</w:t>
      </w:r>
      <w:r>
        <w:t xml:space="preserve"> Kontrolle nennt der Text oder die Übersichtstabelle, </w:t>
      </w:r>
      <w:r>
        <w:rPr>
          <w:b/>
          <w:bCs/>
        </w:rPr>
        <w:t xml:space="preserve">warum</w:t>
      </w:r>
      <w:r>
        <w:t xml:space="preserve"> sie aufgenommen wurde: ihr erwarteter Einfluss auf die AV, die UV oder beide – mit Referenz. Am stärksten ist die Begründung über beide Pfade; ein klarer Grund für einen davon ist akzeptabel.</w:t>
      </w:r>
    </w:p>
    <w:p>
      <w:pPr>
        <w:pStyle w:val="ListParagraph"/>
        <w:numPr>
          <w:ilvl w:val="0"/>
          <w:numId w:val="2"/>
        </w:numPr>
        <w:spacing w:after="60"/>
      </w:pPr>
      <w:r>
        <w:t xml:space="preserve">„Frühere Forschung hat sie verwendet“ ist </w:t>
      </w:r>
      <w:r>
        <w:rPr>
          <w:b/>
          <w:bCs/>
        </w:rPr>
        <w:t xml:space="preserve">kein</w:t>
      </w:r>
      <w:r>
        <w:t xml:space="preserve"> ausreichender Grund.</w:t>
      </w:r>
    </w:p>
    <w:p>
      <w:pPr>
        <w:pStyle w:val="ListParagraph"/>
        <w:numPr>
          <w:ilvl w:val="0"/>
          <w:numId w:val="2"/>
        </w:numPr>
        <w:spacing w:after="60"/>
      </w:pPr>
      <w:r>
        <w:t xml:space="preserve">Kontrollen werden </w:t>
      </w:r>
      <w:r>
        <w:rPr>
          <w:b/>
          <w:bCs/>
        </w:rPr>
        <w:t xml:space="preserve">nach Ebene gruppiert</w:t>
      </w:r>
      <w:r>
        <w:t xml:space="preserve"> (Individuum/Team, Firma/Venture, Branche, Zeit), damit die Passage kurz bleibt.</w:t>
      </w:r>
    </w:p>
    <w:p>
      <w:pPr>
        <w:pStyle w:val="ListParagraph"/>
        <w:numPr>
          <w:ilvl w:val="0"/>
          <w:numId w:val="2"/>
        </w:numPr>
        <w:spacing w:after="60"/>
      </w:pPr>
      <w:r>
        <w:t xml:space="preserve">Branchen- und Zeit-Fixed-Effects werden genannt, ebenso in einem Satz, wofür sie kontrollieren.</w:t>
      </w:r>
    </w:p>
    <w:p>
      <w:pPr>
        <w:pStyle w:val="ListParagraph"/>
        <w:numPr>
          <w:ilvl w:val="0"/>
          <w:numId w:val="2"/>
        </w:numPr>
        <w:spacing w:after="60"/>
      </w:pPr>
      <w:r>
        <w:t xml:space="preserve">Keine </w:t>
      </w:r>
      <w:r>
        <w:rPr>
          <w:b/>
          <w:bCs/>
        </w:rPr>
        <w:t xml:space="preserve">Bad Controls</w:t>
      </w:r>
      <w:r>
        <w:t xml:space="preserve">: Variablen, die plausibel selbst Ergebnis des fokalen Prädiktors sind, gehören nicht ins Modell.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Formel:  </w:t>
            </w:r>
            <w:r>
              <w:t xml:space="preserve">„We control for X because it may affect [AV] / [UV] (Referenz).“ – jede Kontrollvariable muss sich in diese Form bringen lassen.</w:t>
            </w:r>
          </w:p>
        </w:tc>
      </w:tr>
    </w:tbl>
    <w:p>
      <w:pPr>
        <w:spacing w:after="80"/>
      </w:pPr>
    </w:p>
    <w:p>
      <w:pPr>
        <w:pStyle w:val="Heading2"/>
      </w:pPr>
      <w:r>
        <w:t xml:space="preserve">5.2  Exemplare</w:t>
      </w:r>
    </w:p>
    <w:p>
      <w:pPr>
        <w:spacing w:after="120"/>
      </w:pPr>
      <w:r>
        <w:rPr>
          <w:b/>
          <w:bCs/>
        </w:rPr>
        <w:t xml:space="preserve">Gruppierte Kontrollen mit Einfluss auf UV und AV</w:t>
      </w:r>
    </w:p>
    <w:p>
      <w:pPr>
        <w:pBdr>
          <w:left w:val="single" w:color="2E6DA4" w:sz="18" w:space="10"/>
        </w:pBdr>
        <w:shd w:fill="F5F7FA" w:color="auto" w:val="clear"/>
        <w:spacing w:after="40" w:before="120"/>
        <w:ind w:left="567" w:right="283"/>
      </w:pPr>
      <w:r>
        <w:rPr>
          <w:i/>
          <w:iCs/>
          <w:color w:val="333333"/>
        </w:rPr>
        <w:t xml:space="preserve">„On the firm level, we controlled for firm size (log of annual revenue), return on assets (ROA), sales growth rate, and firm leverage (debt/equity ratio), four factors that are likely to influence a decision concerning whether to make first and/or follow-on CVC investments and the ability to pursue innovation activities (…).“</w:t>
      </w:r>
    </w:p>
    <w:p>
      <w:pPr>
        <w:spacing w:after="120"/>
        <w:ind w:left="567"/>
        <w:jc w:val="left"/>
      </w:pPr>
      <w:r>
        <w:rPr>
          <w:color w:val="5A6270"/>
          <w:sz w:val="18"/>
          <w:szCs w:val="18"/>
        </w:rPr>
        <w:t xml:space="preserve">— Engelen et al. (2026, JPIM)</w:t>
      </w:r>
    </w:p>
    <w:p>
      <w:pPr>
        <w:spacing w:after="140"/>
      </w:pPr>
      <w:r>
        <w:rPr>
          <w:b/>
          <w:bCs/>
          <w:color w:val="2E6DA4"/>
        </w:rPr>
        <w:t xml:space="preserve">Technik: </w:t>
      </w:r>
      <w:r>
        <w:t xml:space="preserve">Vier Kontrollen teilen sich einen Grund, der sowohl die UV (Investitionsentscheidung) als auch die AV (Innovation) nennt. Die Gruppierung hält die Passage kurz.</w:t>
      </w:r>
    </w:p>
    <w:p>
      <w:pPr>
        <w:spacing w:after="120"/>
      </w:pPr>
      <w:r>
        <w:rPr>
          <w:b/>
          <w:bCs/>
        </w:rPr>
        <w:t xml:space="preserve">Beide Pfade in einem Satz</w:t>
      </w:r>
    </w:p>
    <w:p>
      <w:pPr>
        <w:pBdr>
          <w:left w:val="single" w:color="2E6DA4" w:sz="18" w:space="10"/>
        </w:pBdr>
        <w:shd w:fill="F5F7FA" w:color="auto" w:val="clear"/>
        <w:spacing w:after="40" w:before="120"/>
        <w:ind w:left="567" w:right="283"/>
      </w:pPr>
      <w:r>
        <w:rPr>
          <w:i/>
          <w:iCs/>
          <w:color w:val="333333"/>
        </w:rPr>
        <w:t xml:space="preserve">„Both variables are likely to affect a venture's R&amp;D activities (…) and could be correlated with the founding environment.“</w:t>
      </w:r>
    </w:p>
    <w:p>
      <w:pPr>
        <w:spacing w:after="120"/>
        <w:ind w:left="567"/>
        <w:jc w:val="left"/>
      </w:pPr>
      <w:r>
        <w:rPr>
          <w:color w:val="5A6270"/>
          <w:sz w:val="18"/>
          <w:szCs w:val="18"/>
        </w:rPr>
        <w:t xml:space="preserve">— Haeberle et al. (2026, JPIM)</w:t>
      </w:r>
    </w:p>
    <w:p>
      <w:pPr>
        <w:spacing w:after="120"/>
      </w:pPr>
      <w:r>
        <w:rPr>
          <w:b/>
          <w:bCs/>
        </w:rPr>
        <w:t xml:space="preserve">Kontrolle mit Prädiktor und Ergebnissen verknüpft</w:t>
      </w:r>
    </w:p>
    <w:p>
      <w:pPr>
        <w:pBdr>
          <w:left w:val="single" w:color="2E6DA4" w:sz="18" w:space="10"/>
        </w:pBdr>
        <w:shd w:fill="F5F7FA" w:color="auto" w:val="clear"/>
        <w:spacing w:after="40" w:before="120"/>
        <w:ind w:left="567" w:right="283"/>
      </w:pPr>
      <w:r>
        <w:rPr>
          <w:i/>
          <w:iCs/>
          <w:color w:val="333333"/>
        </w:rPr>
        <w:t xml:space="preserve">„We controlled for venture-level absolute employee growth because it is positively associated with the number of marketing managers and employees at different levels, as well as with larger funding amounts and more market entries.“</w:t>
      </w:r>
    </w:p>
    <w:p>
      <w:pPr>
        <w:spacing w:after="120"/>
        <w:ind w:left="567"/>
        <w:jc w:val="left"/>
      </w:pPr>
      <w:r>
        <w:rPr>
          <w:color w:val="5A6270"/>
          <w:sz w:val="18"/>
          <w:szCs w:val="18"/>
        </w:rPr>
        <w:t xml:space="preserve">— von Nitzsch et al. (2026, JAMS)</w:t>
      </w:r>
    </w:p>
    <w:p>
      <w:pPr>
        <w:spacing w:after="120"/>
      </w:pPr>
      <w:r>
        <w:rPr>
          <w:b/>
          <w:bCs/>
        </w:rPr>
        <w:t xml:space="preserve">Kontrolle als Confounder beider Seiten argumentiert</w:t>
      </w:r>
    </w:p>
    <w:p>
      <w:pPr>
        <w:pBdr>
          <w:left w:val="single" w:color="2E6DA4" w:sz="18" w:space="10"/>
        </w:pBdr>
        <w:shd w:fill="F5F7FA" w:color="auto" w:val="clear"/>
        <w:spacing w:after="40" w:before="120"/>
        <w:ind w:left="567" w:right="283"/>
      </w:pPr>
      <w:r>
        <w:rPr>
          <w:i/>
          <w:iCs/>
          <w:color w:val="333333"/>
        </w:rPr>
        <w:t xml:space="preserve">„Further, their marketing experience is likely to direct the venture's attention to trademarks and to have a positive impact on seed funding because of their inclination toward customer-oriented product developments (…).“</w:t>
      </w:r>
    </w:p>
    <w:p>
      <w:pPr>
        <w:spacing w:after="120"/>
        <w:ind w:left="567"/>
        <w:jc w:val="left"/>
      </w:pPr>
      <w:r>
        <w:rPr>
          <w:color w:val="5A6270"/>
          <w:sz w:val="18"/>
          <w:szCs w:val="18"/>
        </w:rPr>
        <w:t xml:space="preserve">— Rieger, Dreller &amp; Engelen (2024, JMR)</w:t>
      </w:r>
    </w:p>
    <w:p>
      <w:pPr>
        <w:spacing w:after="120"/>
      </w:pPr>
      <w:r>
        <w:rPr>
          <w:b/>
          <w:bCs/>
        </w:rPr>
        <w:t xml:space="preserve">Begründung nur über die AV (akzeptabel)</w:t>
      </w:r>
    </w:p>
    <w:p>
      <w:pPr>
        <w:pBdr>
          <w:left w:val="single" w:color="2E6DA4" w:sz="18" w:space="10"/>
        </w:pBdr>
        <w:shd w:fill="F5F7FA" w:color="auto" w:val="clear"/>
        <w:spacing w:after="40" w:before="120"/>
        <w:ind w:left="567" w:right="283"/>
      </w:pPr>
      <w:r>
        <w:rPr>
          <w:i/>
          <w:iCs/>
          <w:color w:val="333333"/>
        </w:rPr>
        <w:t xml:space="preserve">„At the venture level, we controlled for founding team size, measured as the number of co-founders at the time of a venture's founding, because large founding teams may bring the diversity of resources that can facilitate knowledge integration and innovation (…).“</w:t>
      </w:r>
    </w:p>
    <w:p>
      <w:pPr>
        <w:spacing w:after="120"/>
        <w:ind w:left="567"/>
        <w:jc w:val="left"/>
      </w:pPr>
      <w:r>
        <w:rPr>
          <w:color w:val="5A6270"/>
          <w:sz w:val="18"/>
          <w:szCs w:val="18"/>
        </w:rPr>
        <w:t xml:space="preserve">— Brandenburg et al. (2026, ETP)</w:t>
      </w:r>
    </w:p>
    <w:p>
      <w:pPr>
        <w:spacing w:after="120"/>
      </w:pPr>
      <w:r>
        <w:rPr>
          <w:b/>
          <w:bCs/>
        </w:rPr>
        <w:t xml:space="preserve">Begründung nur über die UV (akzeptabel)</w:t>
      </w:r>
    </w:p>
    <w:p>
      <w:pPr>
        <w:pBdr>
          <w:left w:val="single" w:color="2E6DA4" w:sz="18" w:space="10"/>
        </w:pBdr>
        <w:shd w:fill="F5F7FA" w:color="auto" w:val="clear"/>
        <w:spacing w:after="40" w:before="120"/>
        <w:ind w:left="567" w:right="283"/>
      </w:pPr>
      <w:r>
        <w:rPr>
          <w:i/>
          <w:iCs/>
          <w:color w:val="333333"/>
        </w:rPr>
        <w:t xml:space="preserve">„At the individual level, we controlled for Gender, as narcissistic traits are more prevalent among men than women (…).“</w:t>
      </w:r>
    </w:p>
    <w:p>
      <w:pPr>
        <w:spacing w:after="120"/>
        <w:ind w:left="567"/>
        <w:jc w:val="left"/>
      </w:pPr>
      <w:r>
        <w:rPr>
          <w:color w:val="5A6270"/>
          <w:sz w:val="18"/>
          <w:szCs w:val="18"/>
        </w:rPr>
        <w:t xml:space="preserve">— Lang et al. (2025, JBV)</w:t>
      </w:r>
    </w:p>
    <w:p>
      <w:pPr>
        <w:spacing w:after="120"/>
      </w:pPr>
      <w:r>
        <w:rPr>
          <w:b/>
          <w:bCs/>
        </w:rPr>
        <w:t xml:space="preserve">Operationalisierung in der Tabelle, Gründe im Text</w:t>
      </w:r>
    </w:p>
    <w:p>
      <w:pPr>
        <w:pBdr>
          <w:left w:val="single" w:color="2E6DA4" w:sz="18" w:space="10"/>
        </w:pBdr>
        <w:shd w:fill="F5F7FA" w:color="auto" w:val="clear"/>
        <w:spacing w:after="40" w:before="120"/>
        <w:ind w:left="567" w:right="283"/>
      </w:pPr>
      <w:r>
        <w:rPr>
          <w:i/>
          <w:iCs/>
          <w:color w:val="333333"/>
        </w:rPr>
        <w:t xml:space="preserve">„For brevity, we describe each variable's operationalization in Table 2 and only briefly introduce the rationale for including them in the following.“</w:t>
      </w:r>
    </w:p>
    <w:p>
      <w:pPr>
        <w:spacing w:after="120"/>
        <w:ind w:left="567"/>
        <w:jc w:val="left"/>
      </w:pPr>
      <w:r>
        <w:rPr>
          <w:color w:val="5A6270"/>
          <w:sz w:val="18"/>
          <w:szCs w:val="18"/>
        </w:rPr>
        <w:t xml:space="preserve">— von Nitzsch et al. (2026, JAMS)</w:t>
      </w:r>
    </w:p>
    <w:p>
      <w:pPr>
        <w:spacing w:after="140"/>
      </w:pPr>
      <w:r>
        <w:rPr>
          <w:b/>
          <w:bCs/>
          <w:color w:val="2E6DA4"/>
        </w:rPr>
        <w:t xml:space="preserve">Technik: </w:t>
      </w:r>
      <w:r>
        <w:t xml:space="preserve">Die Tabelle trägt die Operationalisierung, der Text nur die Gründe – so entsteht keine Doppelung. Osses et al. (2024) haben in Tabelle 2 sogar eine eigene Spalte mit der Begründung jeder Kontrolle.</w:t>
      </w:r>
    </w:p>
    <w:p>
      <w:pPr>
        <w:pStyle w:val="Heading1"/>
        <w:pageBreakBefore/>
      </w:pPr>
      <w:r>
        <w:t xml:space="preserve">6  Das Schätzverfahren</w:t>
      </w:r>
    </w:p>
    <w:p>
      <w:pPr>
        <w:pStyle w:val="Heading2"/>
      </w:pPr>
      <w:r>
        <w:t xml:space="preserve">6.1  Anforderungen</w:t>
      </w:r>
    </w:p>
    <w:p>
      <w:pPr>
        <w:pStyle w:val="ListParagraph"/>
        <w:numPr>
          <w:ilvl w:val="0"/>
          <w:numId w:val="2"/>
        </w:numPr>
        <w:spacing w:after="60"/>
      </w:pPr>
      <w:r>
        <w:t xml:space="preserve">Das </w:t>
      </w:r>
      <w:r>
        <w:rPr>
          <w:b/>
          <w:bCs/>
        </w:rPr>
        <w:t xml:space="preserve">Modell</w:t>
      </w:r>
      <w:r>
        <w:t xml:space="preserve"> wird genannt und begründet, warum es zu Ergebnisvariable und Datenstruktur passt (siehe Tabelle).</w:t>
      </w:r>
    </w:p>
    <w:p>
      <w:pPr>
        <w:pStyle w:val="ListParagraph"/>
        <w:numPr>
          <w:ilvl w:val="0"/>
          <w:numId w:val="2"/>
        </w:numPr>
        <w:spacing w:after="60"/>
      </w:pPr>
      <w:r>
        <w:t xml:space="preserve">Bei Panels: </w:t>
      </w:r>
      <w:r>
        <w:rPr>
          <w:b/>
          <w:bCs/>
        </w:rPr>
        <w:t xml:space="preserve">Fixed vs. Random Effects</w:t>
      </w:r>
      <w:r>
        <w:t xml:space="preserve"> mit Grund sowie die </w:t>
      </w:r>
      <w:r>
        <w:rPr>
          <w:b/>
          <w:bCs/>
        </w:rPr>
        <w:t xml:space="preserve">Clustering-Ebene</w:t>
      </w:r>
      <w:r>
        <w:t xml:space="preserve">.</w:t>
      </w:r>
    </w:p>
    <w:p>
      <w:pPr>
        <w:pStyle w:val="ListParagraph"/>
        <w:numPr>
          <w:ilvl w:val="0"/>
          <w:numId w:val="2"/>
        </w:numPr>
        <w:spacing w:after="60"/>
      </w:pPr>
      <w:r>
        <w:rPr>
          <w:b/>
          <w:bCs/>
        </w:rPr>
        <w:t xml:space="preserve">Lags/Leads</w:t>
      </w:r>
      <w:r>
        <w:t xml:space="preserve"> und ihr Grund.</w:t>
      </w:r>
    </w:p>
    <w:p>
      <w:pPr>
        <w:pStyle w:val="ListParagraph"/>
        <w:numPr>
          <w:ilvl w:val="0"/>
          <w:numId w:val="2"/>
        </w:numPr>
        <w:spacing w:after="60"/>
      </w:pPr>
      <w:r>
        <w:t xml:space="preserve">Bei Mediation: </w:t>
      </w:r>
      <w:r>
        <w:rPr>
          <w:b/>
          <w:bCs/>
        </w:rPr>
        <w:t xml:space="preserve">Verfahren und Zahl der Bootstrap-Resamples</w:t>
      </w:r>
      <w:r>
        <w:t xml:space="preserve">; bei moderierter Mediation die Moderator-Stufen.</w:t>
      </w:r>
    </w:p>
    <w:p>
      <w:pPr>
        <w:pStyle w:val="ListParagraph"/>
        <w:numPr>
          <w:ilvl w:val="0"/>
          <w:numId w:val="2"/>
        </w:numPr>
        <w:spacing w:after="60"/>
      </w:pPr>
      <w:r>
        <w:rPr>
          <w:b/>
          <w:bCs/>
        </w:rPr>
        <w:t xml:space="preserve">Gleichungen</w:t>
      </w:r>
      <w:r>
        <w:t xml:space="preserve"> nur, wenn sie eine nicht standardmäßige oder Mehrmodell-Spezifikation klären.</w:t>
      </w:r>
    </w:p>
    <w:p>
      <w:pPr>
        <w:pStyle w:val="ListParagraph"/>
        <w:numPr>
          <w:ilvl w:val="0"/>
          <w:numId w:val="2"/>
        </w:numPr>
        <w:spacing w:after="60"/>
      </w:pPr>
      <w:r>
        <w:rPr>
          <w:b/>
          <w:bCs/>
        </w:rPr>
        <w:t xml:space="preserve">Keine Lehrbuchpassagen:</w:t>
      </w:r>
      <w:r>
        <w:t xml:space="preserve"> Standardverfahren werden nicht allgemein erklärt; beschrieben wird, was in dieser Studie gemacht wurde und warum.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038"/>
      </w:tblGrid>
      <w:tr>
        <w:trPr>
          <w:tblHeader/>
        </w:trPr>
        <w:tc>
          <w:tcPr>
            <w:tcW w:type="dxa" w:w="34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Ergebnisvariable / Datenstruktur</w:t>
            </w:r>
          </w:p>
        </w:tc>
        <w:tc>
          <w:tcPr>
            <w:tcW w:type="dxa" w:w="32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Typisches Modell</w:t>
            </w:r>
          </w:p>
        </w:tc>
        <w:tc>
          <w:tcPr>
            <w:tcW w:type="dxa" w:w="30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Lehrstuhl-Beispiel</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Zähldaten mit Überdispersion</w:t>
            </w:r>
          </w:p>
        </w:tc>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Negative Binomial</w:t>
            </w:r>
          </w:p>
        </w:tc>
        <w:tc>
          <w:tcPr>
            <w:tcW w:type="dxa" w:w="30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Haeberle et al. (2026)</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Zähldaten mit vielen Nullen</w:t>
            </w:r>
          </w:p>
        </w:tc>
        <w:tc>
          <w:tcPr>
            <w:tcW w:type="dxa" w:w="32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Zero-Inflated Negative Binomial (ZINB)</w:t>
            </w:r>
          </w:p>
        </w:tc>
        <w:tc>
          <w:tcPr>
            <w:tcW w:type="dxa" w:w="30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Brandenburg et al. (2026); Lang et al. (2025)</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Anteile / Fraktionen</w:t>
            </w:r>
          </w:p>
        </w:tc>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Fractional Probit/Logit</w:t>
            </w:r>
          </w:p>
        </w:tc>
        <w:tc>
          <w:tcPr>
            <w:tcW w:type="dxa" w:w="30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Engelen et al. (2026); Osses et al. (2024)</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Zeit bis zum Ereignis</w:t>
            </w:r>
          </w:p>
        </w:tc>
        <w:tc>
          <w:tcPr>
            <w:tcW w:type="dxa" w:w="32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Cox- bzw. Aalen-Modelle</w:t>
            </w:r>
          </w:p>
        </w:tc>
        <w:tc>
          <w:tcPr>
            <w:tcW w:type="dxa" w:w="30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Rieger et al. (2024)</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Stetige Ergebnisvariable</w:t>
            </w:r>
          </w:p>
        </w:tc>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OLS mit robusten Standardfehlern</w:t>
            </w:r>
          </w:p>
        </w:tc>
        <w:tc>
          <w:tcPr>
            <w:tcW w:type="dxa" w:w="30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Haeberle et al. (2026); Winkler et al. (2020)</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Konfigurationen / Äquifinalität</w:t>
            </w:r>
          </w:p>
        </w:tc>
        <w:tc>
          <w:tcPr>
            <w:tcW w:type="dxa" w:w="32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fsQCA (ggf. plus Regression)</w:t>
            </w:r>
          </w:p>
        </w:tc>
        <w:tc>
          <w:tcPr>
            <w:tcW w:type="dxa" w:w="30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von Nitzsch et al. (2026)</w:t>
            </w:r>
          </w:p>
        </w:tc>
      </w:tr>
    </w:tbl>
    <w:p>
      <w:pPr>
        <w:spacing w:after="120"/>
      </w:pPr>
    </w:p>
    <w:p>
      <w:pPr>
        <w:pStyle w:val="Heading2"/>
      </w:pPr>
      <w:r>
        <w:t xml:space="preserve">6.2  Exemplare</w:t>
      </w:r>
    </w:p>
    <w:p>
      <w:pPr>
        <w:spacing w:after="120"/>
      </w:pPr>
      <w:r>
        <w:rPr>
          <w:b/>
          <w:bCs/>
        </w:rPr>
        <w:t xml:space="preserve">Modellwahl getestet</w:t>
      </w:r>
    </w:p>
    <w:p>
      <w:pPr>
        <w:pBdr>
          <w:left w:val="single" w:color="2E6DA4" w:sz="18" w:space="10"/>
        </w:pBdr>
        <w:shd w:fill="F5F7FA" w:color="auto" w:val="clear"/>
        <w:spacing w:after="40" w:before="120"/>
        <w:ind w:left="567" w:right="283"/>
      </w:pPr>
      <w:r>
        <w:rPr>
          <w:i/>
          <w:iCs/>
          <w:color w:val="333333"/>
        </w:rPr>
        <w:t xml:space="preserve">„Therefore, we followed Hilbe (2012) in using negative binomial regressions rather than Poisson distributions.“</w:t>
      </w:r>
    </w:p>
    <w:p>
      <w:pPr>
        <w:spacing w:after="120"/>
        <w:ind w:left="567"/>
        <w:jc w:val="left"/>
      </w:pPr>
      <w:r>
        <w:rPr>
          <w:color w:val="5A6270"/>
          <w:sz w:val="18"/>
          <w:szCs w:val="18"/>
        </w:rPr>
        <w:t xml:space="preserve">— Haeberle et al. (2026, JPIM)</w:t>
      </w:r>
    </w:p>
    <w:p>
      <w:pPr>
        <w:spacing w:after="140"/>
      </w:pPr>
      <w:r>
        <w:rPr>
          <w:b/>
          <w:bCs/>
          <w:color w:val="2E6DA4"/>
        </w:rPr>
        <w:t xml:space="preserve">Technik: </w:t>
      </w:r>
      <w:r>
        <w:t xml:space="preserve">Vorangestellt sind Überdispersions-Statistiken und Tests – die Wahl folgt aus den Daten.</w:t>
      </w:r>
    </w:p>
    <w:p>
      <w:pPr>
        <w:spacing w:after="120"/>
      </w:pPr>
      <w:r>
        <w:rPr>
          <w:b/>
          <w:bCs/>
        </w:rPr>
        <w:t xml:space="preserve">RE und ZINB mit Gründen, je ein Satz</w:t>
      </w:r>
    </w:p>
    <w:p>
      <w:pPr>
        <w:pBdr>
          <w:left w:val="single" w:color="2E6DA4" w:sz="18" w:space="10"/>
        </w:pBdr>
        <w:shd w:fill="F5F7FA" w:color="auto" w:val="clear"/>
        <w:spacing w:after="40" w:before="120"/>
        <w:ind w:left="567" w:right="283"/>
      </w:pPr>
      <w:r>
        <w:rPr>
          <w:i/>
          <w:iCs/>
          <w:color w:val="333333"/>
        </w:rPr>
        <w:t xml:space="preserve">„We chose a random effects specification because our independent variable does not vary over time. We employed a zero-inflated negative binomial (ZINB) regression model to test how absorptive capacity's dimensions influence innovation output and to account for overdispersion and the large number of zero-patenting venture years that are typical in our measurement of innovation output.“</w:t>
      </w:r>
    </w:p>
    <w:p>
      <w:pPr>
        <w:spacing w:after="120"/>
        <w:ind w:left="567"/>
        <w:jc w:val="left"/>
      </w:pPr>
      <w:r>
        <w:rPr>
          <w:color w:val="5A6270"/>
          <w:sz w:val="18"/>
          <w:szCs w:val="18"/>
        </w:rPr>
        <w:t xml:space="preserve">— Brandenburg et al. (2026, ETP)</w:t>
      </w:r>
    </w:p>
    <w:p>
      <w:pPr>
        <w:spacing w:after="120"/>
      </w:pPr>
      <w:r>
        <w:rPr>
          <w:b/>
          <w:bCs/>
        </w:rPr>
        <w:t xml:space="preserve">RE vs. FE aus Hypothesen und Daten argumentiert</w:t>
      </w:r>
    </w:p>
    <w:p>
      <w:pPr>
        <w:pBdr>
          <w:left w:val="single" w:color="2E6DA4" w:sz="18" w:space="10"/>
        </w:pBdr>
        <w:shd w:fill="F5F7FA" w:color="auto" w:val="clear"/>
        <w:spacing w:after="40" w:before="120"/>
        <w:ind w:left="567" w:right="283"/>
      </w:pPr>
      <w:r>
        <w:rPr>
          <w:i/>
          <w:iCs/>
          <w:color w:val="333333"/>
        </w:rPr>
        <w:t xml:space="preserve">„We opt for random-effects models over fixed-effects models because our hypotheses primarily focus on between-firm variation, whereas fixed-effects models capture only within-firm variation.“</w:t>
      </w:r>
    </w:p>
    <w:p>
      <w:pPr>
        <w:spacing w:after="120"/>
        <w:ind w:left="567"/>
        <w:jc w:val="left"/>
      </w:pPr>
      <w:r>
        <w:rPr>
          <w:color w:val="5A6270"/>
          <w:sz w:val="18"/>
          <w:szCs w:val="18"/>
        </w:rPr>
        <w:t xml:space="preserve">— Lang et al. (2025, JBV)</w:t>
      </w:r>
    </w:p>
    <w:p>
      <w:pPr>
        <w:spacing w:after="120"/>
      </w:pPr>
      <w:r>
        <w:rPr>
          <w:b/>
          <w:bCs/>
        </w:rPr>
        <w:t xml:space="preserve">FE mit einem Test begründet</w:t>
      </w:r>
    </w:p>
    <w:p>
      <w:pPr>
        <w:pBdr>
          <w:left w:val="single" w:color="2E6DA4" w:sz="18" w:space="10"/>
        </w:pBdr>
        <w:shd w:fill="F5F7FA" w:color="auto" w:val="clear"/>
        <w:spacing w:after="40" w:before="120"/>
        <w:ind w:left="567" w:right="283"/>
      </w:pPr>
      <w:r>
        <w:rPr>
          <w:i/>
          <w:iCs/>
          <w:color w:val="333333"/>
        </w:rPr>
        <w:t xml:space="preserve">„Our choice of fixed effects over random effects was supported by the Hausman test (Prob &gt; χ 2 = 0.000).“</w:t>
      </w:r>
    </w:p>
    <w:p>
      <w:pPr>
        <w:spacing w:after="120"/>
        <w:ind w:left="567"/>
        <w:jc w:val="left"/>
      </w:pPr>
      <w:r>
        <w:rPr>
          <w:color w:val="5A6270"/>
          <w:sz w:val="18"/>
          <w:szCs w:val="18"/>
        </w:rPr>
        <w:t xml:space="preserve">— Osses et al. (2024, JPIM)</w:t>
      </w:r>
    </w:p>
    <w:p>
      <w:pPr>
        <w:spacing w:after="120"/>
      </w:pPr>
      <w:r>
        <w:rPr>
          <w:b/>
          <w:bCs/>
        </w:rPr>
        <w:t xml:space="preserve">Fraktionale Ergebnisvariable, Präzedenz, Clustering</w:t>
      </w:r>
    </w:p>
    <w:p>
      <w:pPr>
        <w:pBdr>
          <w:left w:val="single" w:color="2E6DA4" w:sz="18" w:space="10"/>
        </w:pBdr>
        <w:shd w:fill="F5F7FA" w:color="auto" w:val="clear"/>
        <w:spacing w:after="40" w:before="120"/>
        <w:ind w:left="567" w:right="283"/>
      </w:pPr>
      <w:r>
        <w:rPr>
          <w:i/>
          <w:iCs/>
          <w:color w:val="333333"/>
        </w:rPr>
        <w:t xml:space="preserve">„Our dependent variables are measured as fractions. Based on prior research that models similar fractional dependent variables in a panel setting, we employ fractional regression models using a probit link with robust clustered standard errors (…).“</w:t>
      </w:r>
    </w:p>
    <w:p>
      <w:pPr>
        <w:spacing w:after="120"/>
        <w:ind w:left="567"/>
        <w:jc w:val="left"/>
      </w:pPr>
      <w:r>
        <w:rPr>
          <w:color w:val="5A6270"/>
          <w:sz w:val="18"/>
          <w:szCs w:val="18"/>
        </w:rPr>
        <w:t xml:space="preserve">— Engelen et al. (2026, JPIM)</w:t>
      </w:r>
    </w:p>
    <w:p>
      <w:pPr>
        <w:spacing w:after="120"/>
      </w:pPr>
      <w:r>
        <w:rPr>
          <w:b/>
          <w:bCs/>
        </w:rPr>
        <w:t xml:space="preserve">Mediationsverfahren</w:t>
      </w:r>
    </w:p>
    <w:p>
      <w:pPr>
        <w:pBdr>
          <w:left w:val="single" w:color="2E6DA4" w:sz="18" w:space="10"/>
        </w:pBdr>
        <w:shd w:fill="F5F7FA" w:color="auto" w:val="clear"/>
        <w:spacing w:after="40" w:before="120"/>
        <w:ind w:left="567" w:right="283"/>
      </w:pPr>
      <w:r>
        <w:rPr>
          <w:i/>
          <w:iCs/>
          <w:color w:val="333333"/>
        </w:rPr>
        <w:t xml:space="preserve">„Following Cunningham et al. (2023), we first estimate the direct and indirect effects using a path-analysis-based regression model, computing 95 % bootstrap confidence intervals for the product of coefficients based on 10,000 resamples.“</w:t>
      </w:r>
    </w:p>
    <w:p>
      <w:pPr>
        <w:spacing w:after="120"/>
        <w:ind w:left="567"/>
        <w:jc w:val="left"/>
      </w:pPr>
      <w:r>
        <w:rPr>
          <w:color w:val="5A6270"/>
          <w:sz w:val="18"/>
          <w:szCs w:val="18"/>
        </w:rPr>
        <w:t xml:space="preserve">— Lang et al. (2025, JBV)</w:t>
      </w:r>
    </w:p>
    <w:p>
      <w:pPr>
        <w:pStyle w:val="Heading1"/>
        <w:pageBreakBefore/>
      </w:pPr>
      <w:r>
        <w:t xml:space="preserve">7  Ergänzende Interviews und fsQCA</w:t>
      </w:r>
    </w:p>
    <w:p>
      <w:pPr>
        <w:pStyle w:val="Heading2"/>
      </w:pPr>
      <w:r>
        <w:t xml:space="preserve">7.1  Ergänzende Interviews</w:t>
      </w:r>
    </w:p>
    <w:p>
      <w:pPr>
        <w:spacing w:after="120"/>
      </w:pPr>
      <w:r>
        <w:t xml:space="preserve">Werden Interviews genutzt, nennt der Methodenteil </w:t>
      </w:r>
      <w:r>
        <w:rPr>
          <w:b/>
          <w:bCs/>
        </w:rPr>
        <w:t xml:space="preserve">Zahl und Art der Interviewpartner, den Zweck</w:t>
      </w:r>
      <w:r>
        <w:t xml:space="preserve"> und wo Übersicht der Interviewpartner und Fragebogen dokumentiert sind (Anhang). Die Interviews werden als </w:t>
      </w:r>
      <w:r>
        <w:rPr>
          <w:b/>
          <w:bCs/>
        </w:rPr>
        <w:t xml:space="preserve">Ergänzung der deduktiven Studie</w:t>
      </w:r>
      <w:r>
        <w:t xml:space="preserve"> gerahmt.</w:t>
      </w:r>
    </w:p>
    <w:p>
      <w:pPr>
        <w:pBdr>
          <w:left w:val="single" w:color="2E6DA4" w:sz="18" w:space="10"/>
        </w:pBdr>
        <w:shd w:fill="F5F7FA" w:color="auto" w:val="clear"/>
        <w:spacing w:after="40" w:before="120"/>
        <w:ind w:left="567" w:right="283"/>
      </w:pPr>
      <w:r>
        <w:rPr>
          <w:i/>
          <w:iCs/>
          <w:color w:val="333333"/>
        </w:rPr>
        <w:t xml:space="preserve">„It is not our intention to offer a full-fledged inductive study; rather, the main purpose of the qualitative evidence is to refine and inform our theory- and literature-driven arguments. (…) Web Appendices W1 and W2 describe the venture capitalists we interviewed and the semistructured questionnaire we employed.“</w:t>
      </w:r>
    </w:p>
    <w:p>
      <w:pPr>
        <w:spacing w:after="120"/>
        <w:ind w:left="567"/>
        <w:jc w:val="left"/>
      </w:pPr>
      <w:r>
        <w:rPr>
          <w:color w:val="5A6270"/>
          <w:sz w:val="18"/>
          <w:szCs w:val="18"/>
        </w:rPr>
        <w:t xml:space="preserve">— Rieger, Dreller &amp; Engelen (2024, JMR)</w:t>
      </w:r>
    </w:p>
    <w:p>
      <w:pPr>
        <w:pStyle w:val="Heading2"/>
      </w:pPr>
      <w:r>
        <w:t xml:space="preserve">7.2  Konfigurationale Methoden (fsQCA)</w:t>
      </w:r>
    </w:p>
    <w:p>
      <w:pPr>
        <w:spacing w:after="120"/>
      </w:pPr>
      <w:r>
        <w:t xml:space="preserve">Ein fsQCA-Methodenteil enthält:</w:t>
      </w:r>
    </w:p>
    <w:p>
      <w:pPr>
        <w:pStyle w:val="ListParagraph"/>
        <w:numPr>
          <w:ilvl w:val="0"/>
          <w:numId w:val="2"/>
        </w:numPr>
        <w:spacing w:after="60"/>
      </w:pPr>
      <w:r>
        <w:rPr>
          <w:b/>
          <w:bCs/>
        </w:rPr>
        <w:t xml:space="preserve">Kalibrierungsanker</w:t>
      </w:r>
      <w:r>
        <w:t xml:space="preserve"> (volle Mitgliedschaft, Crossover, volle Nicht-Mitgliedschaft) für jede Bedingung und das Ergebnis, jeweils </w:t>
      </w:r>
      <w:r>
        <w:rPr>
          <w:b/>
          <w:bCs/>
        </w:rPr>
        <w:t xml:space="preserve">inhaltlich begründet</w:t>
      </w:r>
      <w:r>
        <w:t xml:space="preserve">;</w:t>
      </w:r>
    </w:p>
    <w:p>
      <w:pPr>
        <w:pStyle w:val="ListParagraph"/>
        <w:numPr>
          <w:ilvl w:val="0"/>
          <w:numId w:val="2"/>
        </w:numPr>
        <w:spacing w:after="60"/>
      </w:pPr>
      <w:r>
        <w:rPr>
          <w:b/>
          <w:bCs/>
        </w:rPr>
        <w:t xml:space="preserve">Häufigkeits- und Konsistenzschwellen</w:t>
      </w:r>
      <w:r>
        <w:t xml:space="preserve"> für die Wahrheitstafel;</w:t>
      </w:r>
    </w:p>
    <w:p>
      <w:pPr>
        <w:pStyle w:val="ListParagraph"/>
        <w:numPr>
          <w:ilvl w:val="0"/>
          <w:numId w:val="2"/>
        </w:numPr>
        <w:spacing w:after="60"/>
      </w:pPr>
      <w:r>
        <w:t xml:space="preserve">welche </w:t>
      </w:r>
      <w:r>
        <w:rPr>
          <w:b/>
          <w:bCs/>
        </w:rPr>
        <w:t xml:space="preserve">Lösung</w:t>
      </w:r>
      <w:r>
        <w:t xml:space="preserve"> berichtet wird;</w:t>
      </w:r>
    </w:p>
    <w:p>
      <w:pPr>
        <w:pStyle w:val="ListParagraph"/>
        <w:numPr>
          <w:ilvl w:val="0"/>
          <w:numId w:val="2"/>
        </w:numPr>
        <w:spacing w:after="60"/>
      </w:pPr>
      <w:r>
        <w:t xml:space="preserve">wie </w:t>
      </w:r>
      <w:r>
        <w:rPr>
          <w:b/>
          <w:bCs/>
        </w:rPr>
        <w:t xml:space="preserve">Kern- und periphere Bedingungen</w:t>
      </w:r>
      <w:r>
        <w:t xml:space="preserve"> identifiziert werden;</w:t>
      </w:r>
    </w:p>
    <w:p>
      <w:pPr>
        <w:pStyle w:val="ListParagraph"/>
        <w:numPr>
          <w:ilvl w:val="0"/>
          <w:numId w:val="2"/>
        </w:numPr>
        <w:spacing w:after="60"/>
      </w:pPr>
      <w:r>
        <w:t xml:space="preserve">die </w:t>
      </w:r>
      <w:r>
        <w:rPr>
          <w:b/>
          <w:bCs/>
        </w:rPr>
        <w:t xml:space="preserve">zeitliche Reihenfolge</w:t>
      </w:r>
      <w:r>
        <w:t xml:space="preserve"> von Bedingungen und Ergebnis;</w:t>
      </w:r>
    </w:p>
    <w:p>
      <w:pPr>
        <w:pStyle w:val="ListParagraph"/>
        <w:numPr>
          <w:ilvl w:val="0"/>
          <w:numId w:val="2"/>
        </w:numPr>
        <w:spacing w:after="60"/>
      </w:pPr>
      <w:r>
        <w:t xml:space="preserve">eine </w:t>
      </w:r>
      <w:r>
        <w:rPr>
          <w:b/>
          <w:bCs/>
        </w:rPr>
        <w:t xml:space="preserve">Sensitivitätsprüfung</w:t>
      </w:r>
      <w:r>
        <w:t xml:space="preserve"> für die wichtigsten Anker.</w:t>
      </w:r>
    </w:p>
    <w:p>
      <w:pPr>
        <w:spacing w:after="120"/>
      </w:pPr>
      <w:r>
        <w:t xml:space="preserve">Die Anker stehen in einer </w:t>
      </w:r>
      <w:r>
        <w:rPr>
          <w:b/>
          <w:bCs/>
        </w:rPr>
        <w:t xml:space="preserve">Tabelle mit Begründungsspalte</w:t>
      </w:r>
      <w:r>
        <w:t xml:space="preserve">.</w:t>
      </w:r>
    </w:p>
    <w:p>
      <w:pPr>
        <w:spacing w:after="120"/>
      </w:pPr>
      <w:r>
        <w:rPr>
          <w:b/>
          <w:bCs/>
        </w:rPr>
        <w:t xml:space="preserve">Schwellen der Wahrheitstafel</w:t>
      </w:r>
    </w:p>
    <w:p>
      <w:pPr>
        <w:pBdr>
          <w:left w:val="single" w:color="2E6DA4" w:sz="18" w:space="10"/>
        </w:pBdr>
        <w:shd w:fill="F5F7FA" w:color="auto" w:val="clear"/>
        <w:spacing w:after="40" w:before="120"/>
        <w:ind w:left="567" w:right="283"/>
      </w:pPr>
      <w:r>
        <w:rPr>
          <w:i/>
          <w:iCs/>
          <w:color w:val="333333"/>
        </w:rPr>
        <w:t xml:space="preserve">„In line with standard practice, we retained the configurations with the highest case frequencies, ensuring that together they accounted for at least 80% of all cases. We also applied a consistency threshold of 0.80, meaning that at least 80% of cases exhibiting a given configuration also exhibited the outcome, as recommended by Fiss (2011).“</w:t>
      </w:r>
    </w:p>
    <w:p>
      <w:pPr>
        <w:spacing w:after="120"/>
        <w:ind w:left="567"/>
        <w:jc w:val="left"/>
      </w:pPr>
      <w:r>
        <w:rPr>
          <w:color w:val="5A6270"/>
          <w:sz w:val="18"/>
          <w:szCs w:val="18"/>
        </w:rPr>
        <w:t xml:space="preserve">— von Nitzsch et al. (2026, JAMS)</w:t>
      </w:r>
    </w:p>
    <w:p>
      <w:pPr>
        <w:spacing w:after="120"/>
      </w:pPr>
      <w:r>
        <w:rPr>
          <w:b/>
          <w:bCs/>
        </w:rPr>
        <w:t xml:space="preserve">Anker inhaltlich begründet</w:t>
      </w:r>
    </w:p>
    <w:p>
      <w:pPr>
        <w:pBdr>
          <w:left w:val="single" w:color="2E6DA4" w:sz="18" w:space="10"/>
        </w:pBdr>
        <w:shd w:fill="F5F7FA" w:color="auto" w:val="clear"/>
        <w:spacing w:after="40" w:before="120"/>
        <w:ind w:left="567" w:right="283"/>
      </w:pPr>
      <w:r>
        <w:rPr>
          <w:i/>
          <w:iCs/>
          <w:color w:val="333333"/>
        </w:rPr>
        <w:t xml:space="preserve">„We set the full membership threshold (0.95) at 750,000 USD, the crossover point (0.5) at 500,000 USD, and the full nonmembership threshold (0.05) at 250,000 USD. These calibration thresholds are based on substantive knowledge of the sample and industry context.“</w:t>
      </w:r>
    </w:p>
    <w:p>
      <w:pPr>
        <w:spacing w:after="120"/>
        <w:ind w:left="567"/>
        <w:jc w:val="left"/>
      </w:pPr>
      <w:r>
        <w:rPr>
          <w:color w:val="5A6270"/>
          <w:sz w:val="18"/>
          <w:szCs w:val="18"/>
        </w:rPr>
        <w:t xml:space="preserve">— von Nitzsch et al. (2026, JAMS)</w:t>
      </w:r>
    </w:p>
    <w:p>
      <w:pPr>
        <w:spacing w:after="140"/>
      </w:pPr>
      <w:r>
        <w:rPr>
          <w:b/>
          <w:bCs/>
          <w:color w:val="2E6DA4"/>
        </w:rPr>
        <w:t xml:space="preserve">Technik: </w:t>
      </w:r>
      <w:r>
        <w:t xml:space="preserve">Eine Kalibrierungstabelle mit Begründungsspalte (z. B. „Meaningful experience in most functions is typically acquired after 2 years“) trägt die Anker; der Text berichtet die Logik und eine Sensitivitätsprüfung.</w:t>
      </w:r>
    </w:p>
    <w:p>
      <w:pPr>
        <w:pStyle w:val="Heading1"/>
        <w:pageBreakBefore/>
      </w:pPr>
      <w:r>
        <w:t xml:space="preserve">8  Schlankheit: was nicht hineingehört</w:t>
      </w:r>
    </w:p>
    <w:p>
      <w:pPr>
        <w:spacing w:after="120"/>
      </w:pPr>
      <w:r>
        <w:t xml:space="preserve">Schlankheit gilt für den gesamten Methodenteil. Dieselbe Information erscheint </w:t>
      </w:r>
      <w:r>
        <w:rPr>
          <w:b/>
          <w:bCs/>
        </w:rPr>
        <w:t xml:space="preserve">nie zweimal</w:t>
      </w:r>
      <w:r>
        <w:t xml:space="preserve"> – nicht in zwei Absätzen, nicht vollständig in Text und Tabelle, nicht als Wiederholung von Hypothesen oder Theorie. Wenn eine Tabelle alle Operationalisierungen enthält, behält der Text nur, was die Tabelle nicht tragen kann: Gründe und Herleitungen neuer Maße.</w:t>
      </w:r>
    </w:p>
    <w:p>
      <w:pPr>
        <w:pStyle w:val="Heading2"/>
      </w:pPr>
      <w:r>
        <w:t xml:space="preserve">8.1  Stil</w:t>
      </w:r>
    </w:p>
    <w:p>
      <w:pPr>
        <w:pStyle w:val="ListParagraph"/>
        <w:numPr>
          <w:ilvl w:val="0"/>
          <w:numId w:val="2"/>
        </w:numPr>
        <w:spacing w:after="60"/>
      </w:pPr>
      <w:r>
        <w:t xml:space="preserve">Kurze, aktive Sätze im Präteritum („We excluded …“, „We measured …“).</w:t>
      </w:r>
    </w:p>
    <w:p>
      <w:pPr>
        <w:pStyle w:val="ListParagraph"/>
        <w:numPr>
          <w:ilvl w:val="0"/>
          <w:numId w:val="2"/>
        </w:numPr>
        <w:spacing w:after="60"/>
      </w:pPr>
      <w:r>
        <w:t xml:space="preserve">Der Grund steht im selben Satz wie die Entscheidung.</w:t>
      </w:r>
    </w:p>
    <w:p>
      <w:pPr>
        <w:pStyle w:val="ListParagraph"/>
        <w:numPr>
          <w:ilvl w:val="0"/>
          <w:numId w:val="2"/>
        </w:numPr>
        <w:spacing w:after="60"/>
      </w:pPr>
      <w:r>
        <w:t xml:space="preserve">Zwischenüberschriften übernehmen die Orientierung – Ankündigungssätze sind überflüssig.</w:t>
      </w:r>
    </w:p>
    <w:p>
      <w:pPr>
        <w:pStyle w:val="Heading2"/>
      </w:pPr>
      <w:r>
        <w:t xml:space="preserve">8.2  Muster, die gestrichen werden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tblHeader/>
        </w:trPr>
        <w:tc>
          <w:tcPr>
            <w:tcW w:type="dxa" w:w="23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Muster</w:t>
            </w:r>
          </w:p>
        </w:tc>
        <w:tc>
          <w:tcPr>
            <w:tcW w:type="dxa" w:w="39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Beispiel</w:t>
            </w:r>
          </w:p>
        </w:tc>
        <w:tc>
          <w:tcPr>
            <w:tcW w:type="dxa" w:w="34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Maßnahme</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Ankündigungen / Signposting</w:t>
            </w:r>
          </w:p>
        </w:tc>
        <w:tc>
          <w:tcPr>
            <w:tcW w:type="dxa" w:w="3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„In this section, we describe…“, „Next, we turn to…“, „As outlined above…“</w:t>
            </w:r>
          </w:p>
        </w:tc>
        <w:tc>
          <w:tcPr>
            <w:tcW w:type="dxa" w:w="34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Streichen; die Zwischenüberschrift leistet das.</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Theorie im Messungsteil</w:t>
            </w:r>
          </w:p>
        </w:tc>
        <w:tc>
          <w:tcPr>
            <w:tcW w:type="dxa" w:w="3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Sätze, die erklären, warum ein Konstrukt wichtig ist oder wie es auf das Ergebnis wirkt</w:t>
            </w:r>
          </w:p>
        </w:tc>
        <w:tc>
          <w:tcPr>
            <w:tcW w:type="dxa" w:w="34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Streichen oder in den Theorieteil verschieben (vgl. Gegenbeispiel in 4.2).</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Doppelung Text – Tabelle</w:t>
            </w:r>
          </w:p>
        </w:tc>
        <w:tc>
          <w:tcPr>
            <w:tcW w:type="dxa" w:w="3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Operationalisierungen vollständig in Text und Übersichtstabelle</w:t>
            </w:r>
          </w:p>
        </w:tc>
        <w:tc>
          <w:tcPr>
            <w:tcW w:type="dxa" w:w="34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In der Tabelle lassen; im Text nur Gründe und Herleitungen (vgl. von Nitzsch et al. in 5.2).</w:t>
            </w:r>
          </w:p>
        </w:tc>
      </w:tr>
      <w:tr>
        <w:tc>
          <w:tcPr>
            <w:tcW w:type="dxa" w:w="23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Lehrbuchpassagen</w:t>
            </w:r>
          </w:p>
        </w:tc>
        <w:tc>
          <w:tcPr>
            <w:tcW w:type="dxa" w:w="3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Allgemeine Erklärung, was Negative-Binomial-Regression, PSM oder Paneldaten sind</w:t>
            </w:r>
          </w:p>
        </w:tc>
        <w:tc>
          <w:tcPr>
            <w:tcW w:type="dxa" w:w="34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Durch einen Satz ersetzen: was gemacht wurde und warum.</w:t>
            </w:r>
          </w:p>
        </w:tc>
      </w:tr>
      <w:tr>
        <w:tc>
          <w:tcPr>
            <w:tcW w:type="dxa" w:w="2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Wiederholte Stichprobenfakten</w:t>
            </w:r>
          </w:p>
        </w:tc>
        <w:tc>
          <w:tcPr>
            <w:tcW w:type="dxa" w:w="3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Finales N und Zeitraum an mehreren Stellen</w:t>
            </w:r>
          </w:p>
        </w:tc>
        <w:tc>
          <w:tcPr>
            <w:tcW w:type="dxa" w:w="34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Einmal nennen – am Ende des Wasserfalls.</w:t>
            </w:r>
          </w:p>
        </w:tc>
      </w:tr>
    </w:tbl>
    <w:p>
      <w:pPr>
        <w:spacing w:after="120"/>
      </w:pPr>
    </w:p>
    <w:p>
      <w:pPr>
        <w:pStyle w:val="Heading1"/>
        <w:pageBreakBefore/>
      </w:pPr>
      <w:r>
        <w:t xml:space="preserve">9  Länge und Proportionen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Benchmark:  </w:t>
            </w:r>
            <w:r>
              <w:rPr>
                <w:b/>
                <w:bCs/>
              </w:rPr>
              <w:t xml:space="preserve">Etwa 1.400–2.700 Wörter Fließtext, typischerweise 1.600–2.000</w:t>
            </w:r>
            <w:r>
              <w:t xml:space="preserve"> (ohne Tabellen, Fußnoten und Passagen zu Identifikation/Endogenität). Bei Times New Roman 12 pt, doppelter Zeilenabstand, sind das rund </w:t>
            </w:r>
            <w:r>
              <w:rPr>
                <w:b/>
                <w:bCs/>
              </w:rPr>
              <w:t xml:space="preserve">6–10 Seiten</w:t>
            </w:r>
            <w:r>
              <w:t xml:space="preserve">.</w:t>
            </w:r>
          </w:p>
        </w:tc>
      </w:tr>
    </w:tbl>
    <w:p>
      <w:pPr>
        <w:spacing w:after="80"/>
      </w:pPr>
    </w:p>
    <w:p>
      <w:pPr>
        <w:spacing w:after="120"/>
      </w:pPr>
      <w:r>
        <w:t xml:space="preserve">Abweichungen brauchen einen Grund. Am </w:t>
      </w:r>
      <w:r>
        <w:rPr>
          <w:b/>
          <w:bCs/>
        </w:rPr>
        <w:t xml:space="preserve">unteren Ende</w:t>
      </w:r>
      <w:r>
        <w:t xml:space="preserve"> liegen Methodenteile, die auf etablierten Maßen und einer Übersichtstabelle beruhen (Osses et al. 2024, Brandenburg et al. 2026, Engelen et al. 2026). Am </w:t>
      </w:r>
      <w:r>
        <w:rPr>
          <w:b/>
          <w:bCs/>
        </w:rPr>
        <w:t xml:space="preserve">oberen Ende</w:t>
      </w:r>
      <w:r>
        <w:t xml:space="preserve"> liegen Methodenteile mit einem neuen, validierten Maß (Lang et al. 2025: rund 1.700 Wörter allein für die Messung, weil ein Narzissmus-Maß in fünf Schritten validiert wird) oder einem Matching-Design (Haeberle et al. 2026: rund 900 Wörter für die Stichprobe).</w:t>
      </w:r>
    </w:p>
    <w:p>
      <w:pPr>
        <w:pStyle w:val="Heading2"/>
      </w:pPr>
      <w:r>
        <w:t xml:space="preserve">9.1  Richtwerte je Baustein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Baustein</w:t>
            </w:r>
          </w:p>
        </w:tc>
        <w:tc>
          <w:tcPr>
            <w:tcW w:type="dxa" w:w="26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Richtwert (Wörter)</w:t>
            </w:r>
          </w:p>
        </w:tc>
        <w:tc>
          <w:tcPr>
            <w:tcW w:type="dxa" w:w="40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Wann mehr</w:t>
            </w:r>
          </w:p>
        </w:tc>
      </w:tr>
      <w:t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Stichprobe</w:t>
            </w:r>
          </w:p>
        </w:tc>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ca. 250–600</w:t>
            </w:r>
          </w:p>
        </w:tc>
        <w:tc>
          <w:tcPr>
            <w:tcW w:type="dxa" w:w="40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Bis ca. 900 bei einem Matching-Design</w:t>
            </w:r>
          </w:p>
        </w:tc>
      </w:tr>
      <w:tr>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Zentrale Maße</w:t>
            </w:r>
          </w:p>
        </w:tc>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ca. 400–800</w:t>
            </w:r>
          </w:p>
        </w:tc>
        <w:tc>
          <w:tcPr>
            <w:tcW w:type="dxa" w:w="40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Nur bei neuen Maßen mit Herleitung und Validierung</w:t>
            </w:r>
          </w:p>
        </w:tc>
      </w:tr>
      <w:t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Kontrollvariablen</w:t>
            </w:r>
          </w:p>
        </w:tc>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ca. 300–450</w:t>
            </w:r>
          </w:p>
        </w:tc>
        <w:tc>
          <w:tcPr>
            <w:tcW w:type="dxa" w:w="40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t>
            </w:r>
          </w:p>
        </w:tc>
      </w:tr>
      <w:tr>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Schätzverfahren</w:t>
            </w:r>
          </w:p>
        </w:tc>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ca. 100–300</w:t>
            </w:r>
          </w:p>
        </w:tc>
        <w:tc>
          <w:tcPr>
            <w:tcW w:type="dxa" w:w="40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Bei Mehrmodell-Spezifikationen oder Mediation</w:t>
            </w:r>
          </w:p>
        </w:tc>
      </w:tr>
    </w:tbl>
    <w:p>
      <w:pPr>
        <w:spacing w:after="120"/>
      </w:pPr>
    </w:p>
    <w:p>
      <w:pPr>
        <w:pStyle w:val="Heading2"/>
      </w:pPr>
      <w:r>
        <w:t xml:space="preserve">9.2  Was Abweichungen meist bedeuten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Zu lang – meist wegen …</w:t>
            </w:r>
          </w:p>
        </w:tc>
        <w:tc>
          <w:tcPr>
            <w:tcW w:type="dxa" w:w="4819"/>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Zu kurz – meist wegen …</w:t>
            </w:r>
          </w:p>
        </w:tc>
      </w:tr>
      <w:tr>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Theorie im Messungsteil</w:t>
            </w:r>
          </w:p>
        </w:tc>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fehlender Stichprobenschritte</w:t>
            </w:r>
          </w:p>
        </w:tc>
      </w:tr>
      <w:tr>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Doppelungen mit Tabellen</w:t>
            </w:r>
          </w:p>
        </w:tc>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fehlender Quellen für Maße</w:t>
            </w:r>
          </w:p>
        </w:tc>
      </w:tr>
      <w:tr>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Lehrbuchpassagen</w:t>
            </w:r>
          </w:p>
        </w:tc>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fehlender Begründungen für Kontrollen</w:t>
            </w:r>
          </w:p>
        </w:tc>
      </w:tr>
      <w:tr>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Überleitungen und Ankündigungen</w:t>
            </w:r>
          </w:p>
        </w:tc>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nicht begründeter Modellwahl</w:t>
            </w:r>
          </w:p>
        </w:tc>
      </w:tr>
    </w:tbl>
    <w:p>
      <w:pPr>
        <w:spacing w:after="120"/>
      </w:pPr>
    </w:p>
    <w:p>
      <w:pPr>
        <w:pStyle w:val="Heading1"/>
        <w:pageBreakBefore/>
      </w:pPr>
      <w:r>
        <w:t xml:space="preserve">10  Typische Schwächen</w:t>
      </w:r>
    </w:p>
    <w:p>
      <w:pPr>
        <w:spacing w:after="120"/>
      </w:pPr>
      <w:r>
        <w:t xml:space="preserve">Woran ein Methodenteil erkennbar unter Lehrstuhl-Niveau liegt: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Schwäche</w:t>
            </w:r>
          </w:p>
        </w:tc>
        <w:tc>
          <w:tcPr>
            <w:tcW w:type="dxa" w:w="4819"/>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Was stattdessen dort stehen sollte</w:t>
            </w:r>
          </w:p>
        </w:tc>
      </w:tr>
      <w:tr>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Stichprobe nur mit Anfangs- und End-N; unerklärte Verluste; Ns in Text und Tabellen inkonsistent</w:t>
            </w:r>
          </w:p>
        </w:tc>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Vollständiger Wasserfall mit Grund und N je Schritt (Kapitel 3)</w:t>
            </w:r>
          </w:p>
        </w:tc>
      </w:tr>
      <w:tr>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Zusammenführungen mit weiteren Datenbanken nicht als Schritte berichtet</w:t>
            </w:r>
          </w:p>
        </w:tc>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Jede Zusammenführung als eigener Schritt mit N</w:t>
            </w:r>
          </w:p>
        </w:tc>
      </w:tr>
      <w:tr>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Theorie im Messungsteil wiederholt</w:t>
            </w:r>
          </w:p>
        </w:tc>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Maß, Operationalisierung, Quelle – höchstens ein verbindender Nebensatz</w:t>
            </w:r>
          </w:p>
        </w:tc>
      </w:tr>
      <w:tr>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Maße ohne Referenzen; neue Maße ohne Herleitung oder Validierung</w:t>
            </w:r>
          </w:p>
        </w:tc>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Frühere Verwendung zitiert; bei neuen Maßen Herleitung plus Validierung (4.3)</w:t>
            </w:r>
          </w:p>
        </w:tc>
      </w:tr>
      <w:tr>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Kontrollen ohne Grund oder nur mit „frühere Forschung hat sie verwendet“</w:t>
            </w:r>
          </w:p>
        </w:tc>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Grund über AV und/oder UV mit Referenz (Kapitel 5)</w:t>
            </w:r>
          </w:p>
        </w:tc>
      </w:tr>
      <w:tr>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Schätzmodell ohne Begründung</w:t>
            </w:r>
          </w:p>
        </w:tc>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Modell passend zu Ergebnisvariable und Datenstruktur, mit Grund (Kapitel 6)</w:t>
            </w:r>
          </w:p>
        </w:tc>
      </w:tr>
      <w:tr>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Dieselbe Operationalisierung in Text und Tabelle; Hypothesen wiederholt</w:t>
            </w:r>
          </w:p>
        </w:tc>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Tabelle trägt Operationalisierung, Text nur Gründe (Kapitel 8)</w:t>
            </w:r>
          </w:p>
        </w:tc>
      </w:tr>
      <w:tr>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Ankündigungssätze und Lehrbucherklärungen</w:t>
            </w:r>
          </w:p>
        </w:tc>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Streichen bzw. durch einen Satz ersetzen (Kapitel 8)</w:t>
            </w:r>
          </w:p>
        </w:tc>
      </w:tr>
      <w:tr>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Deutlich länger oder kürzer als der Benchmark ohne Grund</w:t>
            </w:r>
          </w:p>
        </w:tc>
        <w:tc>
          <w:tcPr>
            <w:tcW w:type="dxa" w:w="4819"/>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Länge im Rahmen von Kapitel 9</w:t>
            </w:r>
          </w:p>
        </w:tc>
      </w:tr>
      <w:tr>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Konstruktbezeichnungen weichen von den Hypothesen ab</w:t>
            </w:r>
          </w:p>
        </w:tc>
        <w:tc>
          <w:tcPr>
            <w:tcW w:type="dxa" w:w="4819"/>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Exakt dieselben Bezeichnungen wie in den Hypothesen</w:t>
            </w:r>
          </w:p>
        </w:tc>
      </w:tr>
    </w:tbl>
    <w:p>
      <w:pPr>
        <w:spacing w:after="120"/>
      </w:pPr>
    </w:p>
    <w:p>
      <w:pPr>
        <w:pStyle w:val="Heading1"/>
        <w:pageBreakBefore/>
      </w:pPr>
      <w:r>
        <w:t xml:space="preserve">11  Sprache, Exemplare und Redlichkeit</w:t>
      </w:r>
    </w:p>
    <w:p>
      <w:pPr>
        <w:pStyle w:val="Heading2"/>
      </w:pPr>
      <w:r>
        <w:t xml:space="preserve">11.1  Umgang mit Exemplaren</w:t>
      </w:r>
    </w:p>
    <w:p>
      <w:pPr>
        <w:spacing w:after="120"/>
      </w:pPr>
      <w:r>
        <w:t xml:space="preserve">Exemplare zeigen </w:t>
      </w:r>
      <w:r>
        <w:rPr>
          <w:b/>
          <w:bCs/>
        </w:rPr>
        <w:t xml:space="preserve">Techniken</w:t>
      </w:r>
      <w:r>
        <w:t xml:space="preserve">. Wörtliche Formulierungen werden nie in den eigenen Text übernommen: Die übertragbare Technik wird extrahiert, die Formulierung für das eigene Manuskript neu geschrieben.</w:t>
      </w:r>
    </w:p>
    <w:p>
      <w:pPr>
        <w:pStyle w:val="ListParagraph"/>
        <w:numPr>
          <w:ilvl w:val="0"/>
          <w:numId w:val="6"/>
        </w:numPr>
        <w:spacing w:after="60"/>
      </w:pPr>
      <w:r>
        <w:t xml:space="preserve">Die Schwachstelle im eigenen Text benennen (z. B. „Stichprobenverlust zwischen Schritt 2 und 3 unerklärt“).</w:t>
      </w:r>
    </w:p>
    <w:p>
      <w:pPr>
        <w:pStyle w:val="ListParagraph"/>
        <w:numPr>
          <w:ilvl w:val="0"/>
          <w:numId w:val="6"/>
        </w:numPr>
        <w:spacing w:after="60"/>
      </w:pPr>
      <w:r>
        <w:t xml:space="preserve">Die passende Technik in Kapitel 3–7 bzw. im Index (14.1) suchen und das </w:t>
      </w:r>
      <w:r>
        <w:rPr>
          <w:b/>
          <w:bCs/>
        </w:rPr>
        <w:t xml:space="preserve">nächstliegende Analogon</w:t>
      </w:r>
      <w:r>
        <w:t xml:space="preserve"> wählen – gleiche Datenquellen, Analyseebene oder Art der Ergebnisvariable (Übersicht in Kapitel 14).</w:t>
      </w:r>
    </w:p>
    <w:p>
      <w:pPr>
        <w:pStyle w:val="ListParagraph"/>
        <w:numPr>
          <w:ilvl w:val="0"/>
          <w:numId w:val="6"/>
        </w:numPr>
        <w:spacing w:after="60"/>
      </w:pPr>
      <w:r>
        <w:t xml:space="preserve">Benennen, was die Technik leistet.</w:t>
      </w:r>
    </w:p>
    <w:p>
      <w:pPr>
        <w:pStyle w:val="ListParagraph"/>
        <w:numPr>
          <w:ilvl w:val="0"/>
          <w:numId w:val="6"/>
        </w:numPr>
        <w:spacing w:after="60"/>
      </w:pPr>
      <w:r>
        <w:t xml:space="preserve">Die Technik auf den eigenen Fall übertragen und neu formulieren.</w:t>
      </w:r>
    </w:p>
    <w:p>
      <w:pPr>
        <w:pStyle w:val="ListParagraph"/>
        <w:numPr>
          <w:ilvl w:val="0"/>
          <w:numId w:val="6"/>
        </w:numPr>
        <w:spacing w:after="60"/>
      </w:pPr>
      <w:r>
        <w:t xml:space="preserve">Mit </w:t>
      </w:r>
      <w:r>
        <w:rPr>
          <w:b/>
          <w:bCs/>
        </w:rPr>
        <w:t xml:space="preserve">Achtung</w:t>
      </w:r>
      <w:r>
        <w:t xml:space="preserve"> markierte Passagen zeigen, was verbessert werden sollte – sie sind nicht das Vorbild.</w:t>
      </w:r>
    </w:p>
    <w:p>
      <w:pPr>
        <w:pStyle w:val="Heading2"/>
      </w:pPr>
      <w:r>
        <w:t xml:space="preserve">11.2  Wissenschaftliche Redlichkeit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030" w:sz="4"/>
              <w:left w:val="single" w:color="E0A030" w:sz="24"/>
              <w:bottom w:val="single" w:color="E0A030" w:sz="4"/>
              <w:right w:val="single" w:color="E0A030" w:sz="4"/>
            </w:tcBorders>
            <w:shd w:fill="FFF4E0" w:color="auto" w:val="clear"/>
            <w:tcMar>
              <w:top w:type="dxa" w:w="100"/>
              <w:left w:type="dxa" w:w="180"/>
              <w:bottom w:type="dxa" w:w="60"/>
              <w:right w:type="dxa" w:w="180"/>
            </w:tcMar>
          </w:tcPr>
          <w:p>
            <w:pPr>
              <w:spacing w:after="60"/>
            </w:pPr>
            <w:r>
              <w:rPr>
                <w:b/>
                <w:bCs/>
                <w:color w:val="E0A030"/>
              </w:rPr>
              <w:t xml:space="preserve">Achtung:  </w:t>
            </w:r>
            <w:r>
              <w:t xml:space="preserve">Keine erfundenen Referenzen, Datenquellen, Validierungsstatistiken oder Stichprobengrößen. Braucht ein Maß eine stützende Referenz, die sich nicht verifizieren lässt, wird das ausdrücklich als offener Punkt markiert – das gilt auch für KI-gestützte Formulierungsvorschläge.</w:t>
            </w:r>
          </w:p>
        </w:tc>
      </w:tr>
    </w:tbl>
    <w:p>
      <w:pPr>
        <w:spacing w:after="80"/>
      </w:pPr>
    </w:p>
    <w:p>
      <w:pPr>
        <w:pStyle w:val="Heading1"/>
        <w:pageBreakBefore/>
      </w:pPr>
      <w:r>
        <w:t xml:space="preserve">12  Selbsttests</w:t>
      </w:r>
    </w:p>
    <w:p>
      <w:pPr>
        <w:spacing w:after="120"/>
      </w:pPr>
      <w:r>
        <w:t xml:space="preserve">Ein fertiger Methodenteil lässt sich an einer Reihe kurzer Tests messen. Wer eine der folgenden Aufgaben für das eigene Paper nicht vollständig erledigen kann, hat an diesem Baustein noch eine Schwachstelle.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38"/>
        <w:gridCol w:w="3000"/>
      </w:tblGrid>
      <w:tr>
        <w:trPr>
          <w:tblHeader/>
        </w:trPr>
        <w:tc>
          <w:tcPr>
            <w:tcW w:type="dxa" w:w="17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Baustein</w:t>
            </w:r>
          </w:p>
        </w:tc>
        <w:tc>
          <w:tcPr>
            <w:tcW w:type="dxa" w:w="49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Test</w:t>
            </w:r>
          </w:p>
        </w:tc>
        <w:tc>
          <w:tcPr>
            <w:tcW w:type="dxa" w:w="3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Woran das Scheitern erkennbar ist</w:t>
            </w:r>
          </w:p>
        </w:tc>
      </w:tr>
      <w:tr>
        <w:tc>
          <w:tcPr>
            <w:tcW w:type="dxa" w:w="1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Wasserfall</w:t>
            </w:r>
          </w:p>
        </w:tc>
        <w:tc>
          <w:tcPr>
            <w:tcW w:type="dxa" w:w="49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Die Stichprobenbildung lässt sich als Tabelle schreiben: Schritt | was getan wurde | warum | N nach dem Schritt.</w:t>
            </w:r>
          </w:p>
        </w:tc>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Zeilen ohne Grund oder ohne N; Sprünge im N.</w:t>
            </w:r>
          </w:p>
        </w:tc>
      </w:tr>
      <w:tr>
        <w:tc>
          <w:tcPr>
            <w:tcW w:type="dxa" w:w="1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Messung</w:t>
            </w:r>
          </w:p>
        </w:tc>
        <w:tc>
          <w:tcPr>
            <w:tcW w:type="dxa" w:w="49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Für jedes zentrale Maß eine Zeile: Konstruktbezeichnung | Operationalisierung | Datenquelle | Referenz(en) | neu oder etabliert.</w:t>
            </w:r>
          </w:p>
        </w:tc>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Leere Referenzspalte; Bezeichnung weicht von den Hypothesen ab.</w:t>
            </w:r>
          </w:p>
        </w:tc>
      </w:tr>
      <w:tr>
        <w:tc>
          <w:tcPr>
            <w:tcW w:type="dxa" w:w="1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Neues Maß</w:t>
            </w:r>
          </w:p>
        </w:tc>
        <w:tc>
          <w:tcPr>
            <w:tcW w:type="dxa" w:w="49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Für jedes neue Maß 3–5 Sätze zur Herleitung und mindestens zwei Stücke Validierungsevidenz.</w:t>
            </w:r>
          </w:p>
        </w:tc>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Keine Herleitung oder nur eine bzw. keine Validierung.</w:t>
            </w:r>
          </w:p>
        </w:tc>
      </w:tr>
      <w:tr>
        <w:tc>
          <w:tcPr>
            <w:tcW w:type="dxa" w:w="1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Kontrollen</w:t>
            </w:r>
          </w:p>
        </w:tc>
        <w:tc>
          <w:tcPr>
            <w:tcW w:type="dxa" w:w="49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Für jede Kontrolle: „We control for X because it may affect [AV] / [UV] (Referenz).“</w:t>
            </w:r>
          </w:p>
        </w:tc>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Kontrollen ohne Grund oder nur „prior research has used it“.</w:t>
            </w:r>
          </w:p>
        </w:tc>
      </w:tr>
      <w:tr>
        <w:tc>
          <w:tcPr>
            <w:tcW w:type="dxa" w:w="1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Modell</w:t>
            </w:r>
          </w:p>
        </w:tc>
        <w:tc>
          <w:tcPr>
            <w:tcW w:type="dxa" w:w="49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„The dependent variable is _____</w:t>
            </w:r>
            <w:r>
              <w:rPr>
                <w:i/>
                <w:iCs/>
                <w:sz w:val="20"/>
                <w:szCs w:val="20"/>
              </w:rPr>
              <w:t xml:space="preserve"> (Verteilung/Struktur), so we use </w:t>
            </w:r>
            <w:r>
              <w:rPr>
                <w:sz w:val="20"/>
                <w:szCs w:val="20"/>
              </w:rPr>
              <w:t xml:space="preserve">_____.“</w:t>
            </w:r>
          </w:p>
        </w:tc>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Das Modell folgt nicht aus der Ergebnisvariable.</w:t>
            </w:r>
          </w:p>
        </w:tc>
      </w:tr>
      <w:tr>
        <w:tc>
          <w:tcPr>
            <w:tcW w:type="dxa" w:w="17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Streichliste</w:t>
            </w:r>
          </w:p>
        </w:tc>
        <w:tc>
          <w:tcPr>
            <w:tcW w:type="dxa" w:w="49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Jeder Satz, der Theorie wiederholt, die Tabelle wiederholt, Folgendes ankündigt oder ein Standardverfahren allgemein erklärt, ist gestrichen; die Wortzahl liegt im Benchmark.</w:t>
            </w:r>
          </w:p>
        </w:tc>
        <w:tc>
          <w:tcPr>
            <w:tcW w:type="dxa" w:w="30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Solche Sätze sind noch vorhanden; Wortzahl deutlich über dem Benchmark.</w:t>
            </w:r>
          </w:p>
        </w:tc>
      </w:tr>
    </w:tbl>
    <w:p>
      <w:pPr>
        <w:spacing w:after="120"/>
      </w:pPr>
    </w:p>
    <w:p>
      <w:pPr>
        <w:pStyle w:val="Heading1"/>
        <w:pageBreakBefore/>
      </w:pPr>
      <w:r>
        <w:t xml:space="preserve">13  Signature Chair Moves – Kurzreferenz</w:t>
      </w:r>
    </w:p>
    <w:p>
      <w:pPr>
        <w:spacing w:after="120"/>
      </w:pPr>
      <w:r>
        <w:t xml:space="preserve">Zehn wiederkehrende Muster aus den publizierten Lehrstuhl-Papern:</w:t>
      </w:r>
    </w:p>
    <w:p>
      <w:pPr>
        <w:pStyle w:val="ListParagraph"/>
        <w:numPr>
          <w:ilvl w:val="0"/>
          <w:numId w:val="7"/>
        </w:numPr>
        <w:spacing w:after="60"/>
      </w:pPr>
      <w:r>
        <w:t xml:space="preserve">Die Stichprobe als </w:t>
      </w:r>
      <w:r>
        <w:rPr>
          <w:b/>
          <w:bCs/>
        </w:rPr>
        <w:t xml:space="preserve">Wasserfall</w:t>
      </w:r>
      <w:r>
        <w:t xml:space="preserve"> schreiben: Population → jeder Schritt mit Grund und N → finales Panel (Einheiten, Beobachtungen, Zeiteinheit, Zeitraum); vollständiger Ablauf im Anhang.</w:t>
      </w:r>
    </w:p>
    <w:p>
      <w:pPr>
        <w:pStyle w:val="ListParagraph"/>
        <w:numPr>
          <w:ilvl w:val="0"/>
          <w:numId w:val="7"/>
        </w:numPr>
        <w:spacing w:after="60"/>
      </w:pPr>
      <w:r>
        <w:t xml:space="preserve">Setting und jede Grenze des Zeitfensters in </w:t>
      </w:r>
      <w:r>
        <w:rPr>
          <w:b/>
          <w:bCs/>
        </w:rPr>
        <w:t xml:space="preserve">je einem Satz</w:t>
      </w:r>
      <w:r>
        <w:t xml:space="preserve"> begründen.</w:t>
      </w:r>
    </w:p>
    <w:p>
      <w:pPr>
        <w:pStyle w:val="ListParagraph"/>
        <w:numPr>
          <w:ilvl w:val="0"/>
          <w:numId w:val="7"/>
        </w:numPr>
        <w:spacing w:after="60"/>
      </w:pPr>
      <w:r>
        <w:t xml:space="preserve">Jede </w:t>
      </w:r>
      <w:r>
        <w:rPr>
          <w:b/>
          <w:bCs/>
        </w:rPr>
        <w:t xml:space="preserve">Datenquelle einmal</w:t>
      </w:r>
      <w:r>
        <w:t xml:space="preserve"> mit stützender Referenz nennen; berichten, wie Datenbank-Treffer geprüft wurden.</w:t>
      </w:r>
    </w:p>
    <w:p>
      <w:pPr>
        <w:pStyle w:val="ListParagraph"/>
        <w:numPr>
          <w:ilvl w:val="0"/>
          <w:numId w:val="7"/>
        </w:numPr>
        <w:spacing w:after="60"/>
      </w:pPr>
      <w:r>
        <w:t xml:space="preserve">Jedes Maß </w:t>
      </w:r>
      <w:r>
        <w:rPr>
          <w:b/>
          <w:bCs/>
        </w:rPr>
        <w:t xml:space="preserve">schlicht benennen</w:t>
      </w:r>
      <w:r>
        <w:t xml:space="preserve">: Operationalisierung, Datenquelle, frühere Verwendung („in line with…“, „following…“). Keine Theorie.</w:t>
      </w:r>
    </w:p>
    <w:p>
      <w:pPr>
        <w:pStyle w:val="ListParagraph"/>
        <w:numPr>
          <w:ilvl w:val="0"/>
          <w:numId w:val="7"/>
        </w:numPr>
        <w:spacing w:after="60"/>
      </w:pPr>
      <w:r>
        <w:t xml:space="preserve">Bei </w:t>
      </w:r>
      <w:r>
        <w:rPr>
          <w:b/>
          <w:bCs/>
        </w:rPr>
        <w:t xml:space="preserve">neuen Maßen</w:t>
      </w:r>
      <w:r>
        <w:t xml:space="preserve">: Herleitung (Inputs, Kombination) plus Validierung mit mindestens zwei unabhängigen Evidenzen und Benchmarks.</w:t>
      </w:r>
    </w:p>
    <w:p>
      <w:pPr>
        <w:pStyle w:val="ListParagraph"/>
        <w:numPr>
          <w:ilvl w:val="0"/>
          <w:numId w:val="7"/>
        </w:numPr>
        <w:spacing w:after="60"/>
      </w:pPr>
      <w:r>
        <w:rPr>
          <w:b/>
          <w:bCs/>
        </w:rPr>
        <w:t xml:space="preserve">Transformationen und Proxy-Korrekturen</w:t>
      </w:r>
      <w:r>
        <w:t xml:space="preserve"> mit Grund im selben Satz angeben.</w:t>
      </w:r>
    </w:p>
    <w:p>
      <w:pPr>
        <w:pStyle w:val="ListParagraph"/>
        <w:numPr>
          <w:ilvl w:val="0"/>
          <w:numId w:val="7"/>
        </w:numPr>
        <w:spacing w:after="60"/>
      </w:pPr>
      <w:r>
        <w:t xml:space="preserve">Jeder </w:t>
      </w:r>
      <w:r>
        <w:rPr>
          <w:b/>
          <w:bCs/>
        </w:rPr>
        <w:t xml:space="preserve">Kontrolle einen Grund</w:t>
      </w:r>
      <w:r>
        <w:t xml:space="preserve"> geben (Wirkung auf AV und/oder UV) mit Referenz; Kontrollen nach Ebene gruppieren.</w:t>
      </w:r>
    </w:p>
    <w:p>
      <w:pPr>
        <w:pStyle w:val="ListParagraph"/>
        <w:numPr>
          <w:ilvl w:val="0"/>
          <w:numId w:val="7"/>
        </w:numPr>
        <w:spacing w:after="60"/>
      </w:pPr>
      <w:r>
        <w:t xml:space="preserve">Eine </w:t>
      </w:r>
      <w:r>
        <w:rPr>
          <w:b/>
          <w:bCs/>
        </w:rPr>
        <w:t xml:space="preserve">Übersichtstabelle</w:t>
      </w:r>
      <w:r>
        <w:t xml:space="preserve"> für Operationalisierungen nutzen; der Text trägt die Gründe.</w:t>
      </w:r>
    </w:p>
    <w:p>
      <w:pPr>
        <w:pStyle w:val="ListParagraph"/>
        <w:numPr>
          <w:ilvl w:val="0"/>
          <w:numId w:val="7"/>
        </w:numPr>
        <w:spacing w:after="60"/>
      </w:pPr>
      <w:r>
        <w:rPr>
          <w:b/>
          <w:bCs/>
        </w:rPr>
        <w:t xml:space="preserve">Modell, FE/RE, Clustering und Lags</w:t>
      </w:r>
      <w:r>
        <w:t xml:space="preserve"> mit je einem Grund angeben.</w:t>
      </w:r>
    </w:p>
    <w:p>
      <w:pPr>
        <w:pStyle w:val="ListParagraph"/>
        <w:numPr>
          <w:ilvl w:val="0"/>
          <w:numId w:val="7"/>
        </w:numPr>
        <w:spacing w:after="60"/>
      </w:pPr>
      <w:r>
        <w:rPr>
          <w:b/>
          <w:bCs/>
        </w:rPr>
        <w:t xml:space="preserve">Doppelungen, Ankündigungen und Lehrbuchpassagen</w:t>
      </w:r>
      <w:r>
        <w:t xml:space="preserve"> streichen; Länge am Lehrstuhl-Benchmark prüfen.</w:t>
      </w:r>
    </w:p>
    <w:p>
      <w:pPr>
        <w:pStyle w:val="Heading1"/>
        <w:pageBreakBefore/>
      </w:pPr>
      <w:r>
        <w:t xml:space="preserve">14  Die Exemplar-Paper im Überblick</w:t>
      </w:r>
    </w:p>
    <w:p>
      <w:pPr>
        <w:spacing w:after="120"/>
      </w:pPr>
      <w:r>
        <w:t xml:space="preserve">Die Übersicht hilft, für das eigene Paper das </w:t>
      </w:r>
      <w:r>
        <w:rPr>
          <w:b/>
          <w:bCs/>
        </w:rPr>
        <w:t xml:space="preserve">nächstliegende Analogon</w:t>
      </w:r>
      <w:r>
        <w:t xml:space="preserve"> zu finden – nach Datenquellen, Analyseebene oder Art der Ergebnisvariable.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200"/>
        <w:gridCol w:w="2138"/>
        <w:gridCol w:w="1900"/>
      </w:tblGrid>
      <w:tr>
        <w:trPr>
          <w:tblHeader/>
        </w:trPr>
        <w:tc>
          <w:tcPr>
            <w:tcW w:type="dxa" w:w="26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Paper</w:t>
            </w:r>
          </w:p>
        </w:tc>
        <w:tc>
          <w:tcPr>
            <w:tcW w:type="dxa" w:w="8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Journal</w:t>
            </w:r>
          </w:p>
        </w:tc>
        <w:tc>
          <w:tcPr>
            <w:tcW w:type="dxa" w:w="22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Daten / Setting</w:t>
            </w:r>
          </w:p>
        </w:tc>
        <w:tc>
          <w:tcPr>
            <w:tcW w:type="dxa" w:w="21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Stichprobenpfad</w:t>
            </w:r>
          </w:p>
        </w:tc>
        <w:tc>
          <w:tcPr>
            <w:tcW w:type="dxa" w:w="19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17"/>
                <w:szCs w:val="17"/>
              </w:rPr>
              <w:t xml:space="preserve">Ergebnis → Modell</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Engelen et al. (2026):</w:t>
            </w:r>
            <w:r>
              <w:rPr>
                <w:sz w:val="17"/>
                <w:szCs w:val="17"/>
              </w:rPr>
              <w:t xml:space="preserve"> A temporal perspective on CVC investments' potential to foster innovation</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JPIM</w:t>
            </w:r>
          </w:p>
        </w:tc>
        <w:tc>
          <w:tcPr>
            <w:tcW w:type="dxa" w:w="2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S&amp;P-500-Firmen 2005–2019; LSEG Eikon, Compustat, Execucomp, 10-K MD&amp;A</w:t>
            </w:r>
          </w:p>
        </w:tc>
        <w:tc>
          <w:tcPr>
            <w:tcW w:type="dxa" w:w="2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905 Konzerne → 708 Firmen, 6.441 Firmenjahre</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Textbasierte Anteile → Fractional Probit</w:t>
            </w:r>
          </w:p>
        </w:tc>
      </w:tr>
      <w:tr>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Haeberle et al. (2026):</w:t>
            </w:r>
            <w:r>
              <w:rPr>
                <w:sz w:val="17"/>
                <w:szCs w:val="17"/>
              </w:rPr>
              <w:t xml:space="preserve"> Do tech-based new ventures founded during major economic crises generate different R&amp;D outputs?</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JPIM</w:t>
            </w:r>
          </w:p>
        </w:tc>
        <w:tc>
          <w:tcPr>
            <w:tcW w:type="dxa" w:w="22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US-Tech-Ventures, gegründet in der GFC vs. 2012–2014; Crunchbase, LinkedIn, USPTO</w:t>
            </w:r>
          </w:p>
        </w:tc>
        <w:tc>
          <w:tcPr>
            <w:tcW w:type="dxa" w:w="2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708 Krisen- + 2.488 Kontroll-Ventures → 1.340 gematcht → 169 patentierende Ventures, 1.014 Venture-Jahre</w:t>
            </w:r>
          </w:p>
        </w:tc>
        <w:tc>
          <w:tcPr>
            <w:tcW w:type="dxa" w:w="1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Zähldaten → Negative Binomial; Zitationen → OLS</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von Nitzsch et al. (2026):</w:t>
            </w:r>
            <w:r>
              <w:rPr>
                <w:sz w:val="17"/>
                <w:szCs w:val="17"/>
              </w:rPr>
              <w:t xml:space="preserve"> A configurational perspective of marketing's role in the performance of tech-based ventures</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JAMS</w:t>
            </w:r>
          </w:p>
        </w:tc>
        <w:tc>
          <w:tcPr>
            <w:tcW w:type="dxa" w:w="2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US-Tech-Kohorte 2010; Crunchbase, LinkedIn + NLP, USPTO</w:t>
            </w:r>
          </w:p>
        </w:tc>
        <w:tc>
          <w:tcPr>
            <w:tcW w:type="dxa" w:w="2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4.471 → 2.254 → 1.791 Ventures, 121.841 Venture-Monate</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fsQCA + Fractional Logit</w:t>
            </w:r>
          </w:p>
        </w:tc>
      </w:tr>
      <w:tr>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Brandenburg et al. (2026):</w:t>
            </w:r>
            <w:r>
              <w:rPr>
                <w:sz w:val="17"/>
                <w:szCs w:val="17"/>
              </w:rPr>
              <w:t xml:space="preserve"> Founding experience and tech-based ventures' innovation: The mediating role of absorptive capacity</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ETP</w:t>
            </w:r>
          </w:p>
        </w:tc>
        <w:tc>
          <w:tcPr>
            <w:tcW w:type="dxa" w:w="22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Kohorte 2010; Crunchbase, 200.000+ LinkedIn-Profile (RoBERTa), USPTO</w:t>
            </w:r>
          </w:p>
        </w:tc>
        <w:tc>
          <w:tcPr>
            <w:tcW w:type="dxa" w:w="2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1.799 → 1.696 → 1.560 Ventures</w:t>
            </w:r>
          </w:p>
        </w:tc>
        <w:tc>
          <w:tcPr>
            <w:tcW w:type="dxa" w:w="1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Zähldaten → ZINB; Mediatoren → RE; Bootstrap-Mediation</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Lang et al. (2025):</w:t>
            </w:r>
            <w:r>
              <w:rPr>
                <w:sz w:val="17"/>
                <w:szCs w:val="17"/>
              </w:rPr>
              <w:t xml:space="preserve"> Narcissism configurations in founding teams, co-founder turnover and venture growth</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JBV</w:t>
            </w:r>
          </w:p>
        </w:tc>
        <w:tc>
          <w:tcPr>
            <w:tcW w:type="dxa" w:w="2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Kohorte 2010; Crunchbase, LinkedIn, Wayback Machine</w:t>
            </w:r>
          </w:p>
        </w:tc>
        <w:tc>
          <w:tcPr>
            <w:tcW w:type="dxa" w:w="2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2.254 → 1.919 → 911 Ventures, 83.577 Venture-Monate</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Zähldaten → ZINB; Wachstum → RE; moderierte Mediation</w:t>
            </w:r>
          </w:p>
        </w:tc>
      </w:tr>
      <w:tr>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Winkler, Rieger &amp; Engelen (2020):</w:t>
            </w:r>
            <w:r>
              <w:rPr>
                <w:sz w:val="17"/>
                <w:szCs w:val="17"/>
              </w:rPr>
              <w:t xml:space="preserve"> Does the CMO's personality matter for web traffic?</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JAMS</w:t>
            </w:r>
          </w:p>
        </w:tc>
        <w:tc>
          <w:tcPr>
            <w:tcW w:type="dxa" w:w="22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Tech-Ventures; Crunchbase, Twitter API, Alexa</w:t>
            </w:r>
          </w:p>
        </w:tc>
        <w:tc>
          <w:tcPr>
            <w:tcW w:type="dxa" w:w="2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69.391 → 4.724 → 788 → 632 → 627 Ventures, 1.482 Firmenjahre</w:t>
            </w:r>
          </w:p>
        </w:tc>
        <w:tc>
          <w:tcPr>
            <w:tcW w:type="dxa" w:w="1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Web-Traffic → OLS, Between, RE, Negative Binomial</w:t>
            </w:r>
          </w:p>
        </w:tc>
      </w:tr>
      <w:t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b/>
                <w:bCs/>
                <w:sz w:val="17"/>
                <w:szCs w:val="17"/>
              </w:rPr>
              <w:t xml:space="preserve">Osses et al. (2024):</w:t>
            </w:r>
            <w:r>
              <w:rPr>
                <w:sz w:val="17"/>
                <w:szCs w:val="17"/>
              </w:rPr>
              <w:t xml:space="preserve"> Do external founder CEOs place strategic emphasis on innovation?</w:t>
            </w:r>
          </w:p>
        </w:tc>
        <w:tc>
          <w:tcPr>
            <w:tcW w:type="dxa" w:w="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JPIM</w:t>
            </w:r>
          </w:p>
        </w:tc>
        <w:tc>
          <w:tcPr>
            <w:tcW w:type="dxa" w:w="2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S&amp;P-500-Firmen 2000–2019; Compustat, Execucomp, BoardEx, USPTO, MD&amp;A</w:t>
            </w:r>
          </w:p>
        </w:tc>
        <w:tc>
          <w:tcPr>
            <w:tcW w:type="dxa" w:w="2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995 → 900 → 789 Firmen, 9.622 Firmenjahre</w:t>
            </w:r>
          </w:p>
        </w:tc>
        <w:tc>
          <w:tcPr>
            <w:tcW w:type="dxa" w:w="1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17"/>
                <w:szCs w:val="17"/>
              </w:rPr>
              <w:t xml:space="preserve">Anteil → Fractional Logit; Patente → FE Poisson</w:t>
            </w:r>
          </w:p>
        </w:tc>
      </w:tr>
      <w:tr>
        <w:tc>
          <w:tcPr>
            <w:tcW w:type="dxa" w:w="26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b/>
                <w:bCs/>
                <w:sz w:val="17"/>
                <w:szCs w:val="17"/>
              </w:rPr>
              <w:t xml:space="preserve">Rieger, Dreller &amp; Engelen (2024):</w:t>
            </w:r>
            <w:r>
              <w:rPr>
                <w:sz w:val="17"/>
                <w:szCs w:val="17"/>
              </w:rPr>
              <w:t xml:space="preserve"> Zooming in on the very early days: Trademark applications and VC seed funding</w:t>
            </w:r>
          </w:p>
        </w:tc>
        <w:tc>
          <w:tcPr>
            <w:tcW w:type="dxa" w:w="8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JMR</w:t>
            </w:r>
          </w:p>
        </w:tc>
        <w:tc>
          <w:tcPr>
            <w:tcW w:type="dxa" w:w="22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US-Ventures, gegründet 2007–2010; Crunchbase, USPTO</w:t>
            </w:r>
          </w:p>
        </w:tc>
        <w:tc>
          <w:tcPr>
            <w:tcW w:type="dxa" w:w="2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 5.370 Ventures, 414.252 Firmenmonate (Schritte im Web-Anhang)</w:t>
            </w:r>
          </w:p>
        </w:tc>
        <w:tc>
          <w:tcPr>
            <w:tcW w:type="dxa" w:w="19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17"/>
                <w:szCs w:val="17"/>
              </w:rPr>
              <w:t xml:space="preserve">Zeit bis Seed-Finanzierung → Extended Cox + Aalen</w:t>
            </w:r>
          </w:p>
        </w:tc>
      </w:tr>
    </w:tbl>
    <w:p>
      <w:pPr>
        <w:spacing w:after="120"/>
      </w:pPr>
    </w:p>
    <w:p>
      <w:pPr>
        <w:pStyle w:val="Heading2"/>
        <w:pageBreakBefore/>
      </w:pPr>
      <w:r>
        <w:t xml:space="preserve">14.1  Wo welche Technik zu finden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5138"/>
      </w:tblGrid>
      <w:tr>
        <w:trPr>
          <w:tblHeader/>
        </w:trPr>
        <w:tc>
          <w:tcPr>
            <w:tcW w:type="dxa" w:w="34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Technik</w:t>
            </w:r>
          </w:p>
        </w:tc>
        <w:tc>
          <w:tcPr>
            <w:tcW w:type="dxa" w:w="11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Abschnitt</w:t>
            </w:r>
          </w:p>
        </w:tc>
        <w:tc>
          <w:tcPr>
            <w:tcW w:type="dxa" w:w="5138"/>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tcPr>
          <w:p>
            <w:pPr>
              <w:spacing w:after="30"/>
            </w:pPr>
            <w:r>
              <w:rPr>
                <w:b/>
                <w:bCs/>
                <w:color w:val="FFFFFF"/>
                <w:sz w:val="20"/>
                <w:szCs w:val="20"/>
              </w:rPr>
              <w:t xml:space="preserve">Beste Exemplare</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Stichproben-Wasserfall</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3.3</w:t>
            </w:r>
          </w:p>
        </w:tc>
        <w:tc>
          <w:tcPr>
            <w:tcW w:type="dxa" w:w="5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Winkler et al. 2020 (Musterfall); Lang et al. 2025; Haeberle et al. 2026</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Setting und Zeitfenster begründen</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3.4</w:t>
            </w:r>
          </w:p>
        </w:tc>
        <w:tc>
          <w:tcPr>
            <w:tcW w:type="dxa" w:w="5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Lang et al. 2025; Engelen et al. 2026; Winkler et al. 2020</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Datenquellen und Matching</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3.5</w:t>
            </w:r>
          </w:p>
        </w:tc>
        <w:tc>
          <w:tcPr>
            <w:tcW w:type="dxa" w:w="5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Haeberle et al. 2026; Lang et al. 2025; Rieger et al. 2024</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Etabliertes Maß benennen</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4.2</w:t>
            </w:r>
          </w:p>
        </w:tc>
        <w:tc>
          <w:tcPr>
            <w:tcW w:type="dxa" w:w="5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Brandenburg et al. 2026; Haeberle et al. 2026; Engelen et al. 2026</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Neues Maß herleiten und validieren</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4.3</w:t>
            </w:r>
          </w:p>
        </w:tc>
        <w:tc>
          <w:tcPr>
            <w:tcW w:type="dxa" w:w="5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Lang et al. 2025 (vollständigste Sequenz); Engelen et al. 2026; Brandenburg et al. 2026</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Transformationen und Proxy-Schwächen</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4.4</w:t>
            </w:r>
          </w:p>
        </w:tc>
        <w:tc>
          <w:tcPr>
            <w:tcW w:type="dxa" w:w="5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Haeberle et al. 2026; Brandenburg et al. 2026; Engelen et al. 2026</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Aggregation auf Teamebene</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4.5</w:t>
            </w:r>
          </w:p>
        </w:tc>
        <w:tc>
          <w:tcPr>
            <w:tcW w:type="dxa" w:w="5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Lang et al. 2025</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Kontrollvariablen begründen</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5.2</w:t>
            </w:r>
          </w:p>
        </w:tc>
        <w:tc>
          <w:tcPr>
            <w:tcW w:type="dxa" w:w="5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Engelen et al. 2026; Haeberle et al. 2026; von Nitzsch et al. 2026</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Schätzverfahren angeben</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6.2</w:t>
            </w:r>
          </w:p>
        </w:tc>
        <w:tc>
          <w:tcPr>
            <w:tcW w:type="dxa" w:w="5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Brandenburg et al. 2026; Lang et al. 2025; Osses et al. 2024</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Interviews</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7.1</w:t>
            </w:r>
          </w:p>
        </w:tc>
        <w:tc>
          <w:tcPr>
            <w:tcW w:type="dxa" w:w="5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Rieger et al. 2024</w:t>
            </w:r>
          </w:p>
        </w:tc>
      </w:tr>
      <w:tr>
        <w:tc>
          <w:tcPr>
            <w:tcW w:type="dxa" w:w="3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fsQCA-Kalibrierung</w:t>
            </w:r>
          </w:p>
        </w:tc>
        <w:tc>
          <w:tcPr>
            <w:tcW w:type="dxa" w:w="11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7.2</w:t>
            </w:r>
          </w:p>
        </w:tc>
        <w:tc>
          <w:tcPr>
            <w:tcW w:type="dxa" w:w="5138"/>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tcPr>
          <w:p>
            <w:pPr>
              <w:spacing w:after="30"/>
            </w:pPr>
            <w:r>
              <w:rPr>
                <w:sz w:val="20"/>
                <w:szCs w:val="20"/>
              </w:rPr>
              <w:t xml:space="preserve">von Nitzsch et al. 2026</w:t>
            </w:r>
          </w:p>
        </w:tc>
      </w:tr>
      <w:tr>
        <w:tc>
          <w:tcPr>
            <w:tcW w:type="dxa" w:w="34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Schlankheit</w:t>
            </w:r>
          </w:p>
        </w:tc>
        <w:tc>
          <w:tcPr>
            <w:tcW w:type="dxa" w:w="1100"/>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8.2</w:t>
            </w:r>
          </w:p>
        </w:tc>
        <w:tc>
          <w:tcPr>
            <w:tcW w:type="dxa" w:w="5138"/>
            <w:tcBorders>
              <w:top w:val="single" w:color="C8D0DA" w:sz="4"/>
              <w:left w:val="single" w:color="C8D0DA" w:sz="4"/>
              <w:bottom w:val="single" w:color="C8D0DA" w:sz="4"/>
              <w:right w:val="single" w:color="C8D0DA" w:sz="4"/>
            </w:tcBorders>
            <w:shd w:fill="EEF3F8" w:color="auto" w:val="clear"/>
            <w:tcMar>
              <w:top w:type="dxa" w:w="70"/>
              <w:left w:type="dxa" w:w="110"/>
              <w:bottom w:type="dxa" w:w="70"/>
              <w:right w:type="dxa" w:w="110"/>
            </w:tcMar>
          </w:tcPr>
          <w:p>
            <w:pPr>
              <w:spacing w:after="30"/>
            </w:pPr>
            <w:r>
              <w:rPr>
                <w:sz w:val="20"/>
                <w:szCs w:val="20"/>
              </w:rPr>
              <w:t xml:space="preserve">(Muster ohne Zitate – die Lehrstuhl-Paper vermeiden sie weitgehend)</w:t>
            </w:r>
          </w:p>
        </w:tc>
      </w:tr>
    </w:tbl>
    <w:p>
      <w:pPr>
        <w:spacing w:after="120"/>
      </w:pPr>
    </w:p>
    <w:p>
      <w:pPr>
        <w:pStyle w:val="Heading1"/>
        <w:pageBreakBefore/>
      </w:pPr>
      <w:r>
        <w:t xml:space="preserve">15  Checkliste für den fertigen Methodenteil</w:t>
      </w:r>
    </w:p>
    <w:p>
      <w:pPr>
        <w:spacing w:after="120"/>
      </w:pPr>
      <w:r>
        <w:t xml:space="preserve">Ein Methodenteil auf Lehrstuhl-Niveau erfüllt alle folgenden 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E9A5B" w:sz="4"/>
              <w:left w:val="single" w:color="4E9A5B" w:sz="24"/>
              <w:bottom w:val="single" w:color="4E9A5B" w:sz="4"/>
              <w:right w:val="single" w:color="4E9A5B" w:sz="4"/>
            </w:tcBorders>
            <w:shd w:fill="EAF5EC" w:color="auto" w:val="clear"/>
            <w:tcMar>
              <w:top w:type="dxa" w:w="100"/>
              <w:left w:type="dxa" w:w="180"/>
              <w:bottom w:type="dxa" w:w="60"/>
              <w:right w:type="dxa" w:w="180"/>
            </w:tcMar>
          </w:tcPr>
          <w:p>
            <w:pPr>
              <w:spacing w:after="60"/>
            </w:pPr>
            <w:r>
              <w:rPr>
                <w:b/>
                <w:bCs/>
                <w:color w:val="4E9A5B"/>
              </w:rPr>
              <w:t xml:space="preserve">Der Schlusstest:  </w:t>
            </w:r>
            <w:r>
              <w:t xml:space="preserve">Kann der Leser nachvollziehen, woher jedes N stammt, was jede Variable ist und wer sie vorher verwendet hat, warum jede Kontrolle im Modell ist – und steht nichts doppelt da?</w:t>
            </w:r>
          </w:p>
        </w:tc>
      </w:tr>
    </w:tbl>
    <w:p>
      <w:pPr>
        <w:spacing w:after="80"/>
      </w:pPr>
    </w:p>
    <w:p>
      <w:pPr>
        <w:pStyle w:val="Heading2"/>
      </w:pPr>
      <w:r>
        <w:t xml:space="preserve">Stichprobe und Daten</w:t>
      </w:r>
    </w:p>
    <w:p>
      <w:pPr>
        <w:pStyle w:val="ListParagraph"/>
        <w:numPr>
          <w:ilvl w:val="0"/>
          <w:numId w:val="8"/>
        </w:numPr>
        <w:spacing w:after="30" w:line="264"/>
      </w:pPr>
      <w:r>
        <w:t xml:space="preserve">Stichprobe, Analyseeinheit und Datenstruktur können die Hypothesen testen.</w:t>
      </w:r>
    </w:p>
    <w:p>
      <w:pPr>
        <w:pStyle w:val="ListParagraph"/>
        <w:numPr>
          <w:ilvl w:val="0"/>
          <w:numId w:val="8"/>
        </w:numPr>
        <w:spacing w:after="30" w:line="264"/>
      </w:pPr>
      <w:r>
        <w:t xml:space="preserve">Der Wasserfall beginnt mit einer definierten Population und ihrem N.</w:t>
      </w:r>
    </w:p>
    <w:p>
      <w:pPr>
        <w:pStyle w:val="ListParagraph"/>
        <w:numPr>
          <w:ilvl w:val="0"/>
          <w:numId w:val="8"/>
        </w:numPr>
        <w:spacing w:after="30" w:line="264"/>
      </w:pPr>
      <w:r>
        <w:t xml:space="preserve">Jeder Schritt nennt, was getan wurde, warum, und das N danach – einschließlich Zusammenführungen mit weiteren Datenbanken.</w:t>
      </w:r>
    </w:p>
    <w:p>
      <w:pPr>
        <w:pStyle w:val="ListParagraph"/>
        <w:numPr>
          <w:ilvl w:val="0"/>
          <w:numId w:val="8"/>
        </w:numPr>
        <w:spacing w:after="30" w:line="264"/>
      </w:pPr>
      <w:r>
        <w:t xml:space="preserve">Jede Reduktion von N ist benannt und begründet; große Verluste sind erklärt.</w:t>
      </w:r>
    </w:p>
    <w:p>
      <w:pPr>
        <w:pStyle w:val="ListParagraph"/>
        <w:numPr>
          <w:ilvl w:val="0"/>
          <w:numId w:val="8"/>
        </w:numPr>
        <w:spacing w:after="30" w:line="264"/>
      </w:pPr>
      <w:r>
        <w:t xml:space="preserve">Die finale Panelstruktur ist angegeben (Einheiten, Beobachtungen, Zeiteinheit, Zeitraum, balanciert/unbalanciert).</w:t>
      </w:r>
    </w:p>
    <w:p>
      <w:pPr>
        <w:pStyle w:val="ListParagraph"/>
        <w:numPr>
          <w:ilvl w:val="0"/>
          <w:numId w:val="8"/>
        </w:numPr>
        <w:spacing w:after="30" w:line="264"/>
      </w:pPr>
      <w:r>
        <w:t xml:space="preserve">Setting und jede Grenze des Zeitfensters sind in je einem Satz begründet.</w:t>
      </w:r>
    </w:p>
    <w:p>
      <w:pPr>
        <w:pStyle w:val="ListParagraph"/>
        <w:numPr>
          <w:ilvl w:val="0"/>
          <w:numId w:val="8"/>
        </w:numPr>
        <w:spacing w:after="30" w:line="264"/>
      </w:pPr>
      <w:r>
        <w:t xml:space="preserve">Jede Datenquelle ist einmal mit stützender Referenz genannt; Matching-Verfahren und Trefferprüfung sind beschrieben.</w:t>
      </w:r>
    </w:p>
    <w:p>
      <w:pPr>
        <w:pStyle w:val="ListParagraph"/>
        <w:numPr>
          <w:ilvl w:val="0"/>
          <w:numId w:val="8"/>
        </w:numPr>
        <w:spacing w:after="30" w:line="264"/>
      </w:pPr>
      <w:r>
        <w:t xml:space="preserve">Die Ns in Text, Tabellen und Introduction stimmen überein.</w:t>
      </w:r>
    </w:p>
    <w:p>
      <w:pPr>
        <w:pStyle w:val="Heading2"/>
      </w:pPr>
      <w:r>
        <w:t xml:space="preserve">Messung, Kontrollen und Schätzung</w:t>
      </w:r>
    </w:p>
    <w:p>
      <w:pPr>
        <w:pStyle w:val="ListParagraph"/>
        <w:numPr>
          <w:ilvl w:val="0"/>
          <w:numId w:val="8"/>
        </w:numPr>
        <w:spacing w:after="30" w:line="264"/>
      </w:pPr>
      <w:r>
        <w:t xml:space="preserve">Jedes Maß ist benannt, nicht theoretisiert; es gibt keine Theorie-Absätze im Messungsteil.</w:t>
      </w:r>
    </w:p>
    <w:p>
      <w:pPr>
        <w:pStyle w:val="ListParagraph"/>
        <w:numPr>
          <w:ilvl w:val="0"/>
          <w:numId w:val="8"/>
        </w:numPr>
        <w:spacing w:after="30" w:line="264"/>
      </w:pPr>
      <w:r>
        <w:t xml:space="preserve">Jedes etablierte Maß zitiert seine frühere Verwendung.</w:t>
      </w:r>
    </w:p>
    <w:p>
      <w:pPr>
        <w:pStyle w:val="ListParagraph"/>
        <w:numPr>
          <w:ilvl w:val="0"/>
          <w:numId w:val="8"/>
        </w:numPr>
        <w:spacing w:after="30" w:line="264"/>
      </w:pPr>
      <w:r>
        <w:t xml:space="preserve">Jedes neue Maß ist hergeleitet und mit mindestens zwei Evidenzen validiert; die zentralen Kennzahlen stehen im Text.</w:t>
      </w:r>
    </w:p>
    <w:p>
      <w:pPr>
        <w:pStyle w:val="ListParagraph"/>
        <w:numPr>
          <w:ilvl w:val="0"/>
          <w:numId w:val="8"/>
        </w:numPr>
        <w:spacing w:after="30" w:line="264"/>
      </w:pPr>
      <w:r>
        <w:t xml:space="preserve">Transformationen und Proxy-Korrekturen stehen mit Grund im selben Satz.</w:t>
      </w:r>
    </w:p>
    <w:p>
      <w:pPr>
        <w:pStyle w:val="ListParagraph"/>
        <w:numPr>
          <w:ilvl w:val="0"/>
          <w:numId w:val="8"/>
        </w:numPr>
        <w:spacing w:after="30" w:line="264"/>
      </w:pPr>
      <w:r>
        <w:t xml:space="preserve">Aggregationsregeln für Teamkonstrukte sind mit Referenz angegeben.</w:t>
      </w:r>
    </w:p>
    <w:p>
      <w:pPr>
        <w:pStyle w:val="ListParagraph"/>
        <w:numPr>
          <w:ilvl w:val="0"/>
          <w:numId w:val="8"/>
        </w:numPr>
        <w:spacing w:after="30" w:line="264"/>
      </w:pPr>
      <w:r>
        <w:t xml:space="preserve">Die Konstruktbezeichnungen entsprechen exakt denen der Hypothesen.</w:t>
      </w:r>
    </w:p>
    <w:p>
      <w:pPr>
        <w:pStyle w:val="ListParagraph"/>
        <w:numPr>
          <w:ilvl w:val="0"/>
          <w:numId w:val="8"/>
        </w:numPr>
        <w:spacing w:after="30" w:line="264"/>
      </w:pPr>
      <w:r>
        <w:t xml:space="preserve">Jede Kontrollvariable hat einen Grund (Wirkung auf AV und/oder UV) mit Referenz; keine Bad Controls.</w:t>
      </w:r>
    </w:p>
    <w:p>
      <w:pPr>
        <w:pStyle w:val="ListParagraph"/>
        <w:numPr>
          <w:ilvl w:val="0"/>
          <w:numId w:val="8"/>
        </w:numPr>
        <w:spacing w:after="30" w:line="264"/>
      </w:pPr>
      <w:r>
        <w:t xml:space="preserve">Kontrollen sind nach Ebene gruppiert; Fixed Effects sind genannt und erklärt.</w:t>
      </w:r>
    </w:p>
    <w:p>
      <w:pPr>
        <w:pStyle w:val="ListParagraph"/>
        <w:numPr>
          <w:ilvl w:val="0"/>
          <w:numId w:val="8"/>
        </w:numPr>
        <w:spacing w:after="30" w:line="264"/>
      </w:pPr>
      <w:r>
        <w:t xml:space="preserve">Modell, FE/RE, Clustering und Lags sind mit je einem Grund angegeben; ggf. Mediationsverfahren mit Resamples.</w:t>
      </w:r>
    </w:p>
    <w:p>
      <w:pPr>
        <w:pStyle w:val="ListParagraph"/>
        <w:numPr>
          <w:ilvl w:val="0"/>
          <w:numId w:val="8"/>
        </w:numPr>
        <w:spacing w:after="30" w:line="264"/>
      </w:pPr>
      <w:r>
        <w:t xml:space="preserve">Bei fsQCA: Anker mit Begründung in einer Tabelle, Schwellen, berichtete Lösung, Kern-/Peripheriebedingungen, Sensitivitätsprüfung.</w:t>
      </w:r>
    </w:p>
    <w:p>
      <w:pPr>
        <w:pStyle w:val="Heading2"/>
      </w:pPr>
      <w:r>
        <w:t xml:space="preserve">Schlankheit und Form</w:t>
      </w:r>
    </w:p>
    <w:p>
      <w:pPr>
        <w:pStyle w:val="ListParagraph"/>
        <w:numPr>
          <w:ilvl w:val="0"/>
          <w:numId w:val="8"/>
        </w:numPr>
        <w:spacing w:after="30" w:line="264"/>
      </w:pPr>
      <w:r>
        <w:t xml:space="preserve">Eine Übersichtstabelle trägt die Operationalisierungen; der Text wiederholt sie nicht.</w:t>
      </w:r>
    </w:p>
    <w:p>
      <w:pPr>
        <w:pStyle w:val="ListParagraph"/>
        <w:numPr>
          <w:ilvl w:val="0"/>
          <w:numId w:val="8"/>
        </w:numPr>
        <w:spacing w:after="30" w:line="264"/>
      </w:pPr>
      <w:r>
        <w:t xml:space="preserve">Keine Doppelungen zwischen Absätzen, zwischen Text und Tabelle oder mit Theorie und Hypothesen.</w:t>
      </w:r>
    </w:p>
    <w:p>
      <w:pPr>
        <w:pStyle w:val="ListParagraph"/>
        <w:numPr>
          <w:ilvl w:val="0"/>
          <w:numId w:val="8"/>
        </w:numPr>
        <w:spacing w:after="30" w:line="264"/>
      </w:pPr>
      <w:r>
        <w:t xml:space="preserve">Keine Ankündigungssätze und keine Lehrbucherklärungen von Standardverfahren.</w:t>
      </w:r>
    </w:p>
    <w:p>
      <w:pPr>
        <w:pStyle w:val="ListParagraph"/>
        <w:numPr>
          <w:ilvl w:val="0"/>
          <w:numId w:val="8"/>
        </w:numPr>
        <w:spacing w:after="30" w:line="264"/>
      </w:pPr>
      <w:r>
        <w:t xml:space="preserve">Kurze, aktive Sätze im Präteritum; der Grund steht im selben Satz wie die Entscheidung.</w:t>
      </w:r>
    </w:p>
    <w:p>
      <w:pPr>
        <w:pStyle w:val="ListParagraph"/>
        <w:numPr>
          <w:ilvl w:val="0"/>
          <w:numId w:val="8"/>
        </w:numPr>
        <w:spacing w:after="30" w:line="264"/>
      </w:pPr>
      <w:r>
        <w:t xml:space="preserve">Die Länge liegt im Benchmark (ca. 1.400–2.700 Wörter, typischerweise 1.600–2.000); Abweichungen sind begründet.</w:t>
      </w:r>
    </w:p>
    <w:p>
      <w:pPr>
        <w:pStyle w:val="ListParagraph"/>
        <w:numPr>
          <w:ilvl w:val="0"/>
          <w:numId w:val="8"/>
        </w:numPr>
        <w:spacing w:after="30" w:line="264"/>
      </w:pPr>
      <w:r>
        <w:t xml:space="preserve">Alle Referenzen, Datenquellen, Kennzahlen und Ns sind geprüft; nichts ist erfunden oder aus einem Exemplar übernommen.</w:t>
      </w:r>
    </w:p>
    <w:sectPr>
      <w:headerReference w:type="default" r:id="rId7"/>
      <w:headerReference w:type="first" r:id="rId8"/>
      <w:footerReference w:type="default" r:id="rId9"/>
      <w:footerReference w:type="first" r:id="rId10"/>
      <w:pgSz w:w="11906" w:h="16838" w:orient="portrait"/>
      <w:pgMar w:top="1247" w:right="1134" w:bottom="1247"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Den Methodenteil schreiben – Lehrstuhl-Manual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bullet"/>
      <w:lvlText w:val="☐"/>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8" w:space="6"/>
      </w:pBdr>
      <w:spacing w:after="24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40" w:before="320"/>
      <w:outlineLvl w:val="1"/>
    </w:pPr>
    <w:rPr>
      <w:rFonts w:ascii="Calibri" w:cs="Calibri" w:eastAsia="Calibri" w:hAnsi="Calibri"/>
      <w:b/>
      <w:bCs/>
      <w:color w:val="2E6DA4"/>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 Methodenteil schreiben – Lehrstuhl-Manual</dc:title>
  <dc:creator>Lehrstuhl</dc:creator>
  <cp:lastModifiedBy>Un-named</cp:lastModifiedBy>
  <cp:revision>1</cp:revision>
  <dcterms:created xsi:type="dcterms:W3CDTF">2026-09-27T09:51:41.412Z</dcterms:created>
  <dcterms:modified xsi:type="dcterms:W3CDTF">2026-09-27T09:51:41.415Z</dcterms:modified>
</cp:coreProperties>
</file>

<file path=docProps/custom.xml><?xml version="1.0" encoding="utf-8"?>
<Properties xmlns="http://schemas.openxmlformats.org/officeDocument/2006/custom-properties" xmlns:vt="http://schemas.openxmlformats.org/officeDocument/2006/docPropsVTypes"/>
</file>