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FCF9" w14:textId="54338478" w:rsidR="00FA3ED0" w:rsidRPr="00CD0582" w:rsidRDefault="00E17069" w:rsidP="00E17069">
      <w:pPr>
        <w:pStyle w:val="Titel"/>
        <w:rPr>
          <w:lang w:val="de-DE"/>
        </w:rPr>
      </w:pPr>
      <w:r>
        <w:rPr>
          <w:lang w:val="de-DE"/>
        </w:rPr>
        <w:t>Gettier-Fall No.1</w:t>
      </w:r>
    </w:p>
    <w:p w14:paraId="6BF69C85" w14:textId="0D1DB538" w:rsidR="00FA3ED0" w:rsidRPr="00CD0582" w:rsidRDefault="008765BA" w:rsidP="00E17069">
      <w:pPr>
        <w:pStyle w:val="Datum"/>
        <w:rPr>
          <w:lang w:val="de-DE"/>
        </w:rPr>
      </w:pPr>
      <w:r w:rsidRPr="00CD0582">
        <w:rPr>
          <w:lang w:val="de-DE"/>
        </w:rPr>
        <w:t>20</w:t>
      </w:r>
      <w:r w:rsidR="00B51A9F">
        <w:rPr>
          <w:lang w:val="de-DE"/>
        </w:rPr>
        <w:t>20</w:t>
      </w:r>
      <w:r w:rsidRPr="00CD0582">
        <w:rPr>
          <w:lang w:val="de-DE"/>
        </w:rPr>
        <w:t>-0</w:t>
      </w:r>
      <w:r w:rsidR="00B51A9F">
        <w:rPr>
          <w:lang w:val="de-DE"/>
        </w:rPr>
        <w:t>9</w:t>
      </w:r>
      <w:r w:rsidRPr="00CD0582">
        <w:rPr>
          <w:lang w:val="de-DE"/>
        </w:rPr>
        <w:t>-</w:t>
      </w:r>
      <w:r w:rsidR="00B51A9F">
        <w:rPr>
          <w:lang w:val="de-DE"/>
        </w:rPr>
        <w:t>2</w:t>
      </w:r>
      <w:r w:rsidR="00E17069">
        <w:rPr>
          <w:lang w:val="de-DE"/>
        </w:rPr>
        <w:t>5</w:t>
      </w:r>
    </w:p>
    <w:p w14:paraId="6EDF7FC4" w14:textId="0E8A86EC" w:rsidR="00FA3ED0" w:rsidRPr="00E17069" w:rsidRDefault="00E17069" w:rsidP="00E17069">
      <w:pPr>
        <w:pStyle w:val="Abstract"/>
        <w:jc w:val="both"/>
        <w:rPr>
          <w:lang w:val="de-DE"/>
        </w:rPr>
      </w:pPr>
      <w:r w:rsidRPr="00E17069">
        <w:rPr>
          <w:lang w:val="de-DE"/>
        </w:rPr>
        <w:t xml:space="preserve">In seinem Dialog </w:t>
      </w:r>
      <w:r w:rsidRPr="00E17069">
        <w:rPr>
          <w:i/>
          <w:lang w:val="de-DE"/>
        </w:rPr>
        <w:t>Theätet</w:t>
      </w:r>
      <w:r w:rsidRPr="00E17069">
        <w:rPr>
          <w:lang w:val="de-DE"/>
        </w:rPr>
        <w:t xml:space="preserve"> lässt Platon gegen Ende </w:t>
      </w:r>
      <w:r w:rsidR="00737298">
        <w:rPr>
          <w:lang w:val="de-DE"/>
        </w:rPr>
        <w:t xml:space="preserve">seinen </w:t>
      </w:r>
      <w:r w:rsidRPr="00E17069">
        <w:rPr>
          <w:lang w:val="de-DE"/>
        </w:rPr>
        <w:t xml:space="preserve">Sokrates den folgenden Vorschlag eines Definiens </w:t>
      </w:r>
      <w:r>
        <w:rPr>
          <w:lang w:val="de-DE"/>
        </w:rPr>
        <w:t xml:space="preserve">(das heißt: eines definierenden Ausdrucks) </w:t>
      </w:r>
      <w:r w:rsidRPr="00E17069">
        <w:rPr>
          <w:lang w:val="de-DE"/>
        </w:rPr>
        <w:t>für das Definiendum „Wissen“ diskutieren: „gerechtfertigte wahre Meinung“. Obwohl Sokrates den Vorschlag ganz am Ende des Dialogs verwirft (!), hat man ihn lange für ein im Prinzip gelungenes Definiens für „Wissen“ gehalten und daher eine so genannte JTB-Definition des Wissens vertreten („JTB“ = „justified true belief“). D</w:t>
      </w:r>
      <w:r>
        <w:rPr>
          <w:lang w:val="de-DE"/>
        </w:rPr>
        <w:t>as hat sich geändert durch einen drei Seiten langen Aufsatz, den d</w:t>
      </w:r>
      <w:r w:rsidRPr="00E17069">
        <w:rPr>
          <w:lang w:val="de-DE"/>
        </w:rPr>
        <w:t xml:space="preserve">er (ansonsten nicht weiter prominente) Philosoph Edmund Gettier 1963 </w:t>
      </w:r>
      <w:r>
        <w:rPr>
          <w:lang w:val="de-DE"/>
        </w:rPr>
        <w:t>veröffentlicht hat (übrigens: Der Name „Gettier“ wird amerikanisch ausgesprochen und auf der ersten Silbe betont). Gettier beschrieb in diesem Aufsatz einige Fälle</w:t>
      </w:r>
      <w:r w:rsidRPr="00E17069">
        <w:rPr>
          <w:lang w:val="de-DE"/>
        </w:rPr>
        <w:t xml:space="preserve">, die er als Gegenbeispiele zur JTB-Definition ansah. Damit begann eine neue Epoche in der Erkenntnistheorie. </w:t>
      </w:r>
      <w:r>
        <w:rPr>
          <w:lang w:val="de-DE"/>
        </w:rPr>
        <w:t>Im Folgenden wird der</w:t>
      </w:r>
      <w:r w:rsidR="00C40949">
        <w:rPr>
          <w:lang w:val="de-DE"/>
        </w:rPr>
        <w:t xml:space="preserve"> erste der</w:t>
      </w:r>
      <w:r w:rsidRPr="00E17069">
        <w:rPr>
          <w:lang w:val="de-DE"/>
        </w:rPr>
        <w:t xml:space="preserve"> Gettier-Fälle</w:t>
      </w:r>
      <w:r>
        <w:rPr>
          <w:lang w:val="de-DE"/>
        </w:rPr>
        <w:t xml:space="preserve"> rekonstruiert</w:t>
      </w:r>
      <w:r w:rsidRPr="00E17069">
        <w:rPr>
          <w:lang w:val="de-DE"/>
        </w:rPr>
        <w:t>.</w:t>
      </w:r>
      <w:r>
        <w:rPr>
          <w:lang w:val="de-DE"/>
        </w:rPr>
        <w:t xml:space="preserve"> </w:t>
      </w:r>
    </w:p>
    <w:p w14:paraId="0F358050" w14:textId="3325CBDF" w:rsidR="00CD0582" w:rsidRDefault="00CD0582" w:rsidP="00E17069">
      <w:pPr>
        <w:pStyle w:val="Textkrper"/>
        <w:rPr>
          <w:lang w:val="de-DE"/>
        </w:rPr>
      </w:pPr>
      <w:r w:rsidRPr="00CD0582">
        <w:rPr>
          <w:b/>
          <w:lang w:val="de-DE"/>
        </w:rPr>
        <w:t>Keywords:</w:t>
      </w:r>
      <w:r>
        <w:rPr>
          <w:lang w:val="de-DE"/>
        </w:rPr>
        <w:t xml:space="preserve"> </w:t>
      </w:r>
      <w:r w:rsidR="00E17069">
        <w:rPr>
          <w:lang w:val="de-DE"/>
        </w:rPr>
        <w:t>Gettier</w:t>
      </w:r>
      <w:r>
        <w:rPr>
          <w:lang w:val="de-DE"/>
        </w:rPr>
        <w:t>;</w:t>
      </w:r>
      <w:r w:rsidRPr="00CD0582">
        <w:rPr>
          <w:lang w:val="de-DE"/>
        </w:rPr>
        <w:t xml:space="preserve"> </w:t>
      </w:r>
      <w:r w:rsidR="00E17069">
        <w:rPr>
          <w:lang w:val="de-DE"/>
        </w:rPr>
        <w:t>Wissen</w:t>
      </w:r>
      <w:r>
        <w:rPr>
          <w:lang w:val="de-DE"/>
        </w:rPr>
        <w:t>;</w:t>
      </w:r>
      <w:r w:rsidRPr="00CD0582">
        <w:rPr>
          <w:lang w:val="de-DE"/>
        </w:rPr>
        <w:t xml:space="preserve"> </w:t>
      </w:r>
      <w:r w:rsidR="00E17069">
        <w:rPr>
          <w:lang w:val="de-DE"/>
        </w:rPr>
        <w:t>Platon; Kennzeichnung</w:t>
      </w:r>
      <w:r w:rsidR="007F08E1">
        <w:rPr>
          <w:lang w:val="de-DE"/>
        </w:rPr>
        <w:t>; Erkenntnistheorie</w:t>
      </w:r>
    </w:p>
    <w:p w14:paraId="5DBFABD8" w14:textId="77777777" w:rsidR="00FA3ED0" w:rsidRPr="0013448D" w:rsidRDefault="008765BA">
      <w:pPr>
        <w:pStyle w:val="berschrift2"/>
      </w:pPr>
      <w:bookmarkStart w:id="0" w:name="bibliographische-angaben"/>
      <w:r w:rsidRPr="0013448D">
        <w:t>Bibliographische Angaben</w:t>
      </w:r>
      <w:bookmarkEnd w:id="0"/>
    </w:p>
    <w:p w14:paraId="1D305F7A" w14:textId="7CEEDB60" w:rsidR="00FA3ED0" w:rsidRPr="0013448D" w:rsidRDefault="00E17069" w:rsidP="004C4853">
      <w:pPr>
        <w:pStyle w:val="FirstParagraph"/>
      </w:pPr>
      <w:r>
        <w:t>Edmund Gettier</w:t>
      </w:r>
      <w:r w:rsidR="004C4853">
        <w:t>: “</w:t>
      </w:r>
      <w:r w:rsidR="004C4853" w:rsidRPr="004C4853">
        <w:t>Is Justified True Belief Knowledge?</w:t>
      </w:r>
      <w:r w:rsidR="004C4853">
        <w:t>”</w:t>
      </w:r>
      <w:r w:rsidR="004C4853" w:rsidRPr="004C4853">
        <w:t xml:space="preserve">, </w:t>
      </w:r>
      <w:r w:rsidRPr="004C4853">
        <w:rPr>
          <w:i/>
        </w:rPr>
        <w:t>Analysis</w:t>
      </w:r>
      <w:r w:rsidRPr="004C4853">
        <w:t xml:space="preserve"> 23/6</w:t>
      </w:r>
      <w:r w:rsidR="004C4853" w:rsidRPr="004C4853">
        <w:t xml:space="preserve"> (1963)</w:t>
      </w:r>
      <w:r w:rsidR="00AF0CC2">
        <w:t>, 121-123</w:t>
      </w:r>
      <w:r w:rsidR="008765BA" w:rsidRPr="004C4853">
        <w:t>.</w:t>
      </w:r>
      <w:r w:rsidR="008765BA">
        <w:t xml:space="preserve"> </w:t>
      </w:r>
      <w:r w:rsidR="008765BA" w:rsidRPr="0013448D">
        <w:t>[</w:t>
      </w:r>
      <w:hyperlink r:id="rId7">
        <w:r w:rsidR="008765BA" w:rsidRPr="0013448D">
          <w:rPr>
            <w:rStyle w:val="Hyperlink"/>
          </w:rPr>
          <w:t>PhilPapers</w:t>
        </w:r>
      </w:hyperlink>
      <w:r w:rsidR="008765BA" w:rsidRPr="0013448D">
        <w:t>] [</w:t>
      </w:r>
      <w:hyperlink r:id="rId8">
        <w:r w:rsidR="008765BA" w:rsidRPr="0013448D">
          <w:rPr>
            <w:rStyle w:val="Hyperlink"/>
          </w:rPr>
          <w:t>DOI</w:t>
        </w:r>
      </w:hyperlink>
      <w:r w:rsidR="008765BA" w:rsidRPr="0013448D">
        <w:t>]</w:t>
      </w:r>
    </w:p>
    <w:p w14:paraId="63CB9546" w14:textId="77777777" w:rsidR="00FA3ED0" w:rsidRPr="00CD0582" w:rsidRDefault="008765BA">
      <w:pPr>
        <w:pStyle w:val="berschrift2"/>
        <w:rPr>
          <w:lang w:val="de-DE"/>
        </w:rPr>
      </w:pPr>
      <w:bookmarkStart w:id="1" w:name="textstelle"/>
      <w:r w:rsidRPr="00CD0582">
        <w:rPr>
          <w:lang w:val="de-DE"/>
        </w:rPr>
        <w:t>Textstelle</w:t>
      </w:r>
      <w:bookmarkEnd w:id="1"/>
    </w:p>
    <w:p w14:paraId="142A82FD" w14:textId="535FD943" w:rsidR="00FA3ED0" w:rsidRDefault="00AF0CC2" w:rsidP="002847A0">
      <w:pPr>
        <w:pStyle w:val="FirstParagraph"/>
        <w:jc w:val="both"/>
        <w:rPr>
          <w:lang w:val="de-DE"/>
        </w:rPr>
      </w:pPr>
      <w:r>
        <w:rPr>
          <w:lang w:val="de-DE"/>
        </w:rPr>
        <w:t>Die Beschreibung des ersten Gettier-Fall lautet im Original</w:t>
      </w:r>
      <w:r w:rsidR="002847A0">
        <w:rPr>
          <w:lang w:val="de-DE"/>
        </w:rPr>
        <w:t xml:space="preserve"> (Absätze, Auslassungen und Vokabelhinweise in eckigen Klammern: Niko Strobach)</w:t>
      </w:r>
      <w:r w:rsidR="008765BA" w:rsidRPr="00CD0582">
        <w:rPr>
          <w:lang w:val="de-DE"/>
        </w:rPr>
        <w:t>:</w:t>
      </w:r>
    </w:p>
    <w:p w14:paraId="603FB89A"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“[...F]or any proposition P, if S is justified in believing P, and P entails Q, and S deduces Q from P [...], then S is justified in believing Q. [...]</w:t>
      </w:r>
    </w:p>
    <w:p w14:paraId="0799D4EC" w14:textId="3B757FDC"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Suppose that Smith and Jones have applied for a certain job. And suppose that Smith has strong evidence [=starke Indizien] for the following conjunctive proposition [=</w:t>
      </w:r>
      <w:r>
        <w:rPr>
          <w:rFonts w:ascii="Cambria" w:eastAsia="Calibri" w:hAnsi="Cambria" w:cs="Calibri"/>
          <w:lang w:val="en-GB"/>
        </w:rPr>
        <w:t>K</w:t>
      </w:r>
      <w:r w:rsidRPr="002847A0">
        <w:rPr>
          <w:rFonts w:ascii="Cambria" w:eastAsia="Calibri" w:hAnsi="Cambria" w:cs="Calibri"/>
          <w:lang w:val="en-GB"/>
        </w:rPr>
        <w:t>onjunktion]:</w:t>
      </w:r>
    </w:p>
    <w:p w14:paraId="338A2792"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p>
    <w:p w14:paraId="561CCA9A"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(d) Jones is the man who will get the job, and Jones has ten coins in his pocket.</w:t>
      </w:r>
    </w:p>
    <w:p w14:paraId="2995697D"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p>
    <w:p w14:paraId="63FC9755" w14:textId="29996643"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Smith's evidence for (d) might be that the president of the company assured him that Jones would in the end be selected, and that he, Smith, had counted the coins in Jones's pocket ten minutes ago. Proposition (d) entails [=impliziert]:</w:t>
      </w:r>
    </w:p>
    <w:p w14:paraId="6C46772F"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p>
    <w:p w14:paraId="66574813"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(e) The man who will get the job has ten coins in his pocket.</w:t>
      </w:r>
    </w:p>
    <w:p w14:paraId="3D74E070"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p>
    <w:p w14:paraId="47D2F2DE"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Let us suppose that Smith sees the entailment from (d) to (e), and accepts (e) on the grounds of (d), for which he has strong evidence. In this case, Smith is clearly justified in believing that (e) is true.</w:t>
      </w:r>
    </w:p>
    <w:p w14:paraId="02BC01BF"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But imagine, further, that unknown to Smith, he himself, not Jones, will get the job. And, also, unknown to Smith, he himself has ten coins in his pocket.</w:t>
      </w:r>
    </w:p>
    <w:p w14:paraId="019BC0BA"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lastRenderedPageBreak/>
        <w:tab/>
        <w:t xml:space="preserve">Proposition (e) is then true, though proposition (d), from which Smith inferred (e) is false. In our example, then, all of the following are true: </w:t>
      </w:r>
    </w:p>
    <w:p w14:paraId="4F3D45DC"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(i) (e) is true,</w:t>
      </w:r>
    </w:p>
    <w:p w14:paraId="7CADF2C9"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(ii) Smith believes that (e) is true,</w:t>
      </w:r>
    </w:p>
    <w:p w14:paraId="38480F5E" w14:textId="77777777" w:rsidR="002847A0" w:rsidRPr="002847A0" w:rsidRDefault="002847A0" w:rsidP="002847A0">
      <w:pPr>
        <w:autoSpaceDE w:val="0"/>
        <w:autoSpaceDN w:val="0"/>
        <w:adjustRightInd w:val="0"/>
        <w:spacing w:after="0" w:line="259" w:lineRule="auto"/>
        <w:ind w:left="720"/>
        <w:jc w:val="both"/>
        <w:rPr>
          <w:rFonts w:ascii="Cambria" w:eastAsia="Calibri" w:hAnsi="Cambria" w:cs="Calibri"/>
          <w:lang w:val="en-GB"/>
        </w:rPr>
      </w:pPr>
      <w:r w:rsidRPr="002847A0">
        <w:rPr>
          <w:rFonts w:ascii="Cambria" w:eastAsia="Calibri" w:hAnsi="Cambria" w:cs="Calibri"/>
          <w:lang w:val="en-GB"/>
        </w:rPr>
        <w:tab/>
        <w:t>(iii) Smith is justified in believing that (e) is true.</w:t>
      </w:r>
    </w:p>
    <w:p w14:paraId="4D0A8031" w14:textId="3F8256D9" w:rsidR="002847A0" w:rsidRPr="002847A0" w:rsidRDefault="002847A0" w:rsidP="002847A0">
      <w:pPr>
        <w:pStyle w:val="Textkrper"/>
        <w:ind w:left="720"/>
      </w:pPr>
      <w:r w:rsidRPr="002847A0">
        <w:rPr>
          <w:rFonts w:ascii="Cambria" w:eastAsia="Calibri" w:hAnsi="Cambria" w:cs="Calibri"/>
          <w:lang w:val="en-GB"/>
        </w:rPr>
        <w:t xml:space="preserve">But it is equally clear that Smith does not </w:t>
      </w:r>
      <w:r w:rsidRPr="002847A0">
        <w:rPr>
          <w:rFonts w:ascii="Cambria" w:eastAsia="Calibri" w:hAnsi="Cambria" w:cs="Calibri"/>
          <w:i/>
          <w:lang w:val="en-GB"/>
        </w:rPr>
        <w:t>know</w:t>
      </w:r>
      <w:r w:rsidRPr="002847A0">
        <w:rPr>
          <w:rFonts w:ascii="Cambria" w:eastAsia="Calibri" w:hAnsi="Cambria" w:cs="Calibri"/>
          <w:lang w:val="en-GB"/>
        </w:rPr>
        <w:t xml:space="preserve"> that (e) is true.”</w:t>
      </w:r>
    </w:p>
    <w:p w14:paraId="33C8126A" w14:textId="77777777" w:rsidR="00FA3ED0" w:rsidRPr="00CD0582" w:rsidRDefault="008765BA">
      <w:pPr>
        <w:pStyle w:val="berschrift2"/>
        <w:rPr>
          <w:lang w:val="de-DE"/>
        </w:rPr>
      </w:pPr>
      <w:bookmarkStart w:id="2" w:name="argumentrekonstruktion"/>
      <w:r w:rsidRPr="00CD0582">
        <w:rPr>
          <w:lang w:val="de-DE"/>
        </w:rPr>
        <w:t>Argumentrekonstruktion</w:t>
      </w:r>
      <w:bookmarkEnd w:id="2"/>
    </w:p>
    <w:p w14:paraId="33B49992" w14:textId="25AA4A0B" w:rsidR="006B3BD4" w:rsidRDefault="007E7730" w:rsidP="006B3BD4">
      <w:pPr>
        <w:pStyle w:val="FirstParagraph"/>
        <w:jc w:val="both"/>
        <w:rPr>
          <w:lang w:val="de-DE"/>
        </w:rPr>
      </w:pPr>
      <w:r>
        <w:rPr>
          <w:lang w:val="de-DE"/>
        </w:rPr>
        <w:t xml:space="preserve">I) </w:t>
      </w:r>
      <w:r w:rsidR="006B3BD4">
        <w:rPr>
          <w:lang w:val="de-DE"/>
        </w:rPr>
        <w:t>Ein komplexes Argument mit Kennzeichnungen</w:t>
      </w:r>
    </w:p>
    <w:p w14:paraId="6A76648F" w14:textId="56561B9E" w:rsidR="00111A65" w:rsidRDefault="002847A0" w:rsidP="00AD7F98">
      <w:pPr>
        <w:pStyle w:val="FirstParagraph"/>
        <w:jc w:val="both"/>
        <w:rPr>
          <w:lang w:val="de-DE"/>
        </w:rPr>
      </w:pPr>
      <w:r>
        <w:rPr>
          <w:lang w:val="de-DE"/>
        </w:rPr>
        <w:t>Gettiers Text ist so klar strukturiert, das</w:t>
      </w:r>
      <w:r w:rsidR="003B1944">
        <w:rPr>
          <w:lang w:val="de-DE"/>
        </w:rPr>
        <w:t>s</w:t>
      </w:r>
      <w:r>
        <w:rPr>
          <w:lang w:val="de-DE"/>
        </w:rPr>
        <w:t xml:space="preserve"> man sich vielleicht fragt: Wozu da noch eine Rekonstruktion? </w:t>
      </w:r>
      <w:r w:rsidR="003B1944">
        <w:rPr>
          <w:lang w:val="de-DE"/>
        </w:rPr>
        <w:t>Tatsächlich ist das Argument komplexer, als es auf den ersten Blick aussieht. Um es im Kern zu verstehen, braucht man nämlich etwas Theorie der Kennzeich</w:t>
      </w:r>
      <w:r w:rsidR="00214710">
        <w:rPr>
          <w:lang w:val="de-DE"/>
        </w:rPr>
        <w:t>n</w:t>
      </w:r>
      <w:r w:rsidR="003B1944">
        <w:rPr>
          <w:lang w:val="de-DE"/>
        </w:rPr>
        <w:t>ungen (</w:t>
      </w:r>
      <w:r w:rsidR="006A0586">
        <w:rPr>
          <w:lang w:val="de-DE"/>
        </w:rPr>
        <w:t>auch „</w:t>
      </w:r>
      <w:r w:rsidR="003B1944">
        <w:rPr>
          <w:lang w:val="de-DE"/>
        </w:rPr>
        <w:t>definite Beschreibungen</w:t>
      </w:r>
      <w:r w:rsidR="006A0586">
        <w:rPr>
          <w:lang w:val="de-DE"/>
        </w:rPr>
        <w:t>“ genannt</w:t>
      </w:r>
      <w:r w:rsidR="00AD7F98">
        <w:rPr>
          <w:lang w:val="de-DE"/>
        </w:rPr>
        <w:t xml:space="preserve">, zuerst 1905 entwickelt von </w:t>
      </w:r>
      <w:r w:rsidR="003B1944">
        <w:rPr>
          <w:lang w:val="de-DE"/>
        </w:rPr>
        <w:t xml:space="preserve"> Bertrand Russell</w:t>
      </w:r>
      <w:r w:rsidR="00AD7F98">
        <w:rPr>
          <w:lang w:val="de-DE"/>
        </w:rPr>
        <w:t>)</w:t>
      </w:r>
      <w:r w:rsidR="003B1944">
        <w:rPr>
          <w:lang w:val="de-DE"/>
        </w:rPr>
        <w:t>. Die Gültigkeit des Arguments mit dem ersten Gettier-Fall hängt entscheidend davon ab, dass Kennzeichnungen darin vorkommen.</w:t>
      </w:r>
      <w:r w:rsidR="00111A65">
        <w:rPr>
          <w:lang w:val="de-DE"/>
        </w:rPr>
        <w:t xml:space="preserve"> </w:t>
      </w:r>
      <w:r w:rsidR="0034209D">
        <w:rPr>
          <w:lang w:val="de-DE"/>
        </w:rPr>
        <w:t>Eine Kennzeich</w:t>
      </w:r>
      <w:r w:rsidR="00214710">
        <w:rPr>
          <w:lang w:val="de-DE"/>
        </w:rPr>
        <w:t>n</w:t>
      </w:r>
      <w:r w:rsidR="0034209D">
        <w:rPr>
          <w:lang w:val="de-DE"/>
        </w:rPr>
        <w:t>ung</w:t>
      </w:r>
      <w:r w:rsidR="00111A65">
        <w:rPr>
          <w:lang w:val="de-DE"/>
        </w:rPr>
        <w:t xml:space="preserve"> </w:t>
      </w:r>
      <w:r w:rsidR="0034209D">
        <w:rPr>
          <w:lang w:val="de-DE"/>
        </w:rPr>
        <w:t xml:space="preserve">hat </w:t>
      </w:r>
      <w:r w:rsidR="006B3BD4">
        <w:rPr>
          <w:lang w:val="de-DE"/>
        </w:rPr>
        <w:t xml:space="preserve">typischerweise </w:t>
      </w:r>
      <w:r w:rsidR="0034209D">
        <w:rPr>
          <w:lang w:val="de-DE"/>
        </w:rPr>
        <w:t>die</w:t>
      </w:r>
      <w:r w:rsidR="00111A65">
        <w:rPr>
          <w:lang w:val="de-DE"/>
        </w:rPr>
        <w:t xml:space="preserve"> Form </w:t>
      </w:r>
    </w:p>
    <w:p w14:paraId="24FB8EC0" w14:textId="678C0EC6" w:rsidR="002847A0" w:rsidRDefault="00111A65" w:rsidP="0034209D">
      <w:pPr>
        <w:pStyle w:val="FirstParagraph"/>
        <w:rPr>
          <w:lang w:val="de-DE"/>
        </w:rPr>
      </w:pPr>
      <w:r>
        <w:rPr>
          <w:lang w:val="de-DE"/>
        </w:rPr>
        <w:tab/>
        <w:t xml:space="preserve">„derjenige, </w:t>
      </w:r>
      <w:r w:rsidR="0034209D">
        <w:rPr>
          <w:lang w:val="de-DE"/>
        </w:rPr>
        <w:t>der</w:t>
      </w:r>
      <w:r>
        <w:rPr>
          <w:lang w:val="de-DE"/>
        </w:rPr>
        <w:t xml:space="preserve"> die Bedingung F erfüllt.“</w:t>
      </w:r>
    </w:p>
    <w:p w14:paraId="00E142CB" w14:textId="3D227763" w:rsidR="006B3BD4" w:rsidRDefault="006B3BD4" w:rsidP="003C5B93">
      <w:pPr>
        <w:pStyle w:val="Textkrper"/>
        <w:rPr>
          <w:lang w:val="de-DE"/>
        </w:rPr>
      </w:pPr>
      <w:r>
        <w:rPr>
          <w:lang w:val="de-DE"/>
        </w:rPr>
        <w:t xml:space="preserve">Der Kern von Gettiers Argument ist das Beispiel mit Smith und Jones. Man sollte aber nicht seine äußere Schale übersehen.  </w:t>
      </w:r>
    </w:p>
    <w:p w14:paraId="031FAFC7" w14:textId="633D71E7" w:rsidR="006B3BD4" w:rsidRDefault="007E7730" w:rsidP="006B3BD4">
      <w:pPr>
        <w:pStyle w:val="Textkrper"/>
        <w:rPr>
          <w:lang w:val="de-DE"/>
        </w:rPr>
      </w:pPr>
      <w:r>
        <w:rPr>
          <w:lang w:val="de-DE"/>
        </w:rPr>
        <w:t xml:space="preserve">II) </w:t>
      </w:r>
      <w:r w:rsidR="006B3BD4">
        <w:rPr>
          <w:lang w:val="de-DE"/>
        </w:rPr>
        <w:t>Die Schale</w:t>
      </w:r>
    </w:p>
    <w:p w14:paraId="6B0F7086" w14:textId="5BCD4FCA" w:rsidR="003C5B93" w:rsidRPr="003C5B93" w:rsidRDefault="003C5B93" w:rsidP="007B7750">
      <w:pPr>
        <w:pStyle w:val="Textkrper"/>
        <w:jc w:val="both"/>
        <w:rPr>
          <w:lang w:val="de-DE"/>
        </w:rPr>
      </w:pPr>
      <w:r>
        <w:rPr>
          <w:lang w:val="de-DE"/>
        </w:rPr>
        <w:t xml:space="preserve">Die Schale besteht in einem </w:t>
      </w:r>
      <w:r w:rsidRPr="003C5B93">
        <w:rPr>
          <w:i/>
          <w:lang w:val="de-DE"/>
        </w:rPr>
        <w:t>modus tollens</w:t>
      </w:r>
      <w:r>
        <w:rPr>
          <w:lang w:val="de-DE"/>
        </w:rPr>
        <w:t xml:space="preserve">-Argument, wie es typisch ist für die Widerlegung eines Definitionsvorschlags. Ein </w:t>
      </w:r>
      <w:r w:rsidRPr="003C5B93">
        <w:rPr>
          <w:i/>
          <w:lang w:val="de-DE"/>
        </w:rPr>
        <w:t>modus tollens</w:t>
      </w:r>
      <w:r>
        <w:rPr>
          <w:lang w:val="de-DE"/>
        </w:rPr>
        <w:t xml:space="preserve"> hat die folgende Form: Wenn p, dann q; nun aber nicht q; also nicht p.</w:t>
      </w:r>
    </w:p>
    <w:p w14:paraId="2DF364A4" w14:textId="3709F369" w:rsidR="003C5B93" w:rsidRDefault="003C5B93" w:rsidP="00C55949">
      <w:pPr>
        <w:pStyle w:val="Textkrper"/>
        <w:spacing w:before="0" w:after="0"/>
        <w:rPr>
          <w:lang w:val="de-DE"/>
        </w:rPr>
      </w:pPr>
      <w:r>
        <w:rPr>
          <w:lang w:val="de-DE"/>
        </w:rPr>
        <w:t>P1</w:t>
      </w:r>
      <w:r>
        <w:rPr>
          <w:lang w:val="de-DE"/>
        </w:rPr>
        <w:tab/>
      </w:r>
      <w:r w:rsidRPr="003C5B93">
        <w:rPr>
          <w:lang w:val="de-DE"/>
        </w:rPr>
        <w:t>Wenn die JTB-Definition für „</w:t>
      </w:r>
      <w:r w:rsidR="00C55949">
        <w:rPr>
          <w:lang w:val="de-DE"/>
        </w:rPr>
        <w:t>W</w:t>
      </w:r>
      <w:r w:rsidRPr="003C5B93">
        <w:rPr>
          <w:lang w:val="de-DE"/>
        </w:rPr>
        <w:t xml:space="preserve">issen“ angemessen ist, dann weiß Smith, </w:t>
      </w:r>
    </w:p>
    <w:p w14:paraId="60DAC7CD" w14:textId="09E57268" w:rsidR="003C5B93" w:rsidRDefault="003C5B93" w:rsidP="003C5B93">
      <w:pPr>
        <w:pStyle w:val="Textkrper"/>
        <w:spacing w:before="0" w:after="0"/>
        <w:rPr>
          <w:lang w:val="de-DE"/>
        </w:rPr>
      </w:pPr>
      <w:r>
        <w:rPr>
          <w:lang w:val="de-DE"/>
        </w:rPr>
        <w:tab/>
      </w:r>
      <w:r w:rsidRPr="003C5B93">
        <w:rPr>
          <w:lang w:val="de-DE"/>
        </w:rPr>
        <w:t xml:space="preserve">dass </w:t>
      </w:r>
      <w:r>
        <w:rPr>
          <w:lang w:val="de-DE"/>
        </w:rPr>
        <w:t xml:space="preserve">der Satz </w:t>
      </w:r>
      <w:r w:rsidRPr="003C5B93">
        <w:rPr>
          <w:lang w:val="de-DE"/>
        </w:rPr>
        <w:t>„</w:t>
      </w:r>
      <w:r>
        <w:rPr>
          <w:lang w:val="de-DE"/>
        </w:rPr>
        <w:t xml:space="preserve">Derjenige, der den Job kriegt, hat 10 </w:t>
      </w:r>
      <w:r w:rsidRPr="003C5B93">
        <w:rPr>
          <w:lang w:val="de-DE"/>
        </w:rPr>
        <w:t>M</w:t>
      </w:r>
      <w:r>
        <w:rPr>
          <w:lang w:val="de-DE"/>
        </w:rPr>
        <w:t>ünzen in der Tasche“</w:t>
      </w:r>
      <w:r w:rsidRPr="003C5B93">
        <w:rPr>
          <w:lang w:val="de-DE"/>
        </w:rPr>
        <w:t xml:space="preserve"> wahr ist</w:t>
      </w:r>
      <w:r>
        <w:rPr>
          <w:lang w:val="de-DE"/>
        </w:rPr>
        <w:t>.</w:t>
      </w:r>
    </w:p>
    <w:p w14:paraId="546AEA1A" w14:textId="77777777" w:rsidR="003C5B93" w:rsidRPr="003C5B93" w:rsidRDefault="003C5B93" w:rsidP="003C5B93">
      <w:pPr>
        <w:pStyle w:val="Textkrper"/>
        <w:spacing w:before="0" w:after="0" w:line="180" w:lineRule="exact"/>
        <w:rPr>
          <w:lang w:val="de-DE"/>
        </w:rPr>
      </w:pPr>
    </w:p>
    <w:p w14:paraId="16833DF5" w14:textId="3B3F6699" w:rsidR="003C5B93" w:rsidRDefault="003C5B93" w:rsidP="003C5B93">
      <w:pPr>
        <w:pStyle w:val="Textkrper"/>
        <w:spacing w:before="0" w:after="0"/>
        <w:rPr>
          <w:lang w:val="de-DE"/>
        </w:rPr>
      </w:pPr>
      <w:r>
        <w:rPr>
          <w:lang w:val="de-DE"/>
        </w:rPr>
        <w:t>P2</w:t>
      </w:r>
      <w:r>
        <w:rPr>
          <w:lang w:val="de-DE"/>
        </w:rPr>
        <w:tab/>
        <w:t>(</w:t>
      </w:r>
      <w:r w:rsidRPr="003C5B93">
        <w:rPr>
          <w:lang w:val="de-DE"/>
        </w:rPr>
        <w:t>Aber</w:t>
      </w:r>
      <w:r>
        <w:rPr>
          <w:lang w:val="de-DE"/>
        </w:rPr>
        <w:t>)</w:t>
      </w:r>
      <w:r w:rsidRPr="003C5B93">
        <w:rPr>
          <w:lang w:val="de-DE"/>
        </w:rPr>
        <w:t xml:space="preserve"> Smith weiß nicht, dass </w:t>
      </w:r>
      <w:r>
        <w:rPr>
          <w:lang w:val="de-DE"/>
        </w:rPr>
        <w:t xml:space="preserve">der Satz </w:t>
      </w:r>
    </w:p>
    <w:p w14:paraId="43EC979A" w14:textId="0A23F302" w:rsidR="003C5B93" w:rsidRDefault="003C5B93" w:rsidP="003C5B93">
      <w:pPr>
        <w:pStyle w:val="Textkrper"/>
        <w:spacing w:before="0" w:after="0"/>
        <w:rPr>
          <w:lang w:val="de-DE"/>
        </w:rPr>
      </w:pPr>
      <w:r>
        <w:rPr>
          <w:lang w:val="de-DE"/>
        </w:rPr>
        <w:tab/>
      </w:r>
      <w:r w:rsidRPr="003C5B93">
        <w:rPr>
          <w:lang w:val="de-DE"/>
        </w:rPr>
        <w:t>„</w:t>
      </w:r>
      <w:r>
        <w:rPr>
          <w:lang w:val="de-DE"/>
        </w:rPr>
        <w:t xml:space="preserve">Derjenige, der den Job kriegt, hat 10 </w:t>
      </w:r>
      <w:r w:rsidRPr="003C5B93">
        <w:rPr>
          <w:lang w:val="de-DE"/>
        </w:rPr>
        <w:t>M</w:t>
      </w:r>
      <w:r>
        <w:rPr>
          <w:lang w:val="de-DE"/>
        </w:rPr>
        <w:t>ünzen in der Tasche“</w:t>
      </w:r>
      <w:r w:rsidRPr="003C5B93">
        <w:rPr>
          <w:lang w:val="de-DE"/>
        </w:rPr>
        <w:t xml:space="preserve"> </w:t>
      </w:r>
      <w:r>
        <w:rPr>
          <w:lang w:val="de-DE"/>
        </w:rPr>
        <w:t>wahr ist.</w:t>
      </w:r>
    </w:p>
    <w:p w14:paraId="613EEE0A" w14:textId="7FF45BEA" w:rsidR="003C5B93" w:rsidRDefault="003C5B93" w:rsidP="007B7750">
      <w:pPr>
        <w:pStyle w:val="Textkrper"/>
        <w:spacing w:after="0"/>
        <w:rPr>
          <w:lang w:val="de-DE"/>
        </w:rPr>
      </w:pPr>
      <w:r>
        <w:rPr>
          <w:lang w:val="de-DE"/>
        </w:rPr>
        <w:t>K</w:t>
      </w:r>
      <w:r>
        <w:rPr>
          <w:lang w:val="de-DE"/>
        </w:rPr>
        <w:tab/>
      </w:r>
      <w:r w:rsidRPr="003C5B93">
        <w:rPr>
          <w:lang w:val="de-DE"/>
        </w:rPr>
        <w:t>Also ist die JTB-Definition von „</w:t>
      </w:r>
      <w:r w:rsidR="00C55949">
        <w:rPr>
          <w:lang w:val="de-DE"/>
        </w:rPr>
        <w:t>W</w:t>
      </w:r>
      <w:r w:rsidRPr="003C5B93">
        <w:rPr>
          <w:lang w:val="de-DE"/>
        </w:rPr>
        <w:t xml:space="preserve">issen“ nicht angemessen. </w:t>
      </w:r>
    </w:p>
    <w:p w14:paraId="7B7AF588" w14:textId="463ED0E5" w:rsidR="003C5B93" w:rsidRPr="003C5B93" w:rsidRDefault="003C5B93" w:rsidP="007B7750">
      <w:pPr>
        <w:pStyle w:val="Textkrper"/>
        <w:spacing w:before="0"/>
        <w:rPr>
          <w:lang w:val="de-DE"/>
        </w:rPr>
      </w:pPr>
      <w:r>
        <w:rPr>
          <w:lang w:val="de-DE"/>
        </w:rPr>
        <w:tab/>
      </w:r>
      <w:r w:rsidRPr="003C5B93">
        <w:rPr>
          <w:lang w:val="de-DE"/>
        </w:rPr>
        <w:t>(</w:t>
      </w:r>
      <w:r w:rsidRPr="003C5B93">
        <w:rPr>
          <w:i/>
          <w:lang w:val="de-DE"/>
        </w:rPr>
        <w:t>modus tollens</w:t>
      </w:r>
      <w:r>
        <w:rPr>
          <w:lang w:val="de-DE"/>
        </w:rPr>
        <w:t xml:space="preserve"> aus P1, P2</w:t>
      </w:r>
      <w:r w:rsidRPr="003C5B93">
        <w:rPr>
          <w:lang w:val="de-DE"/>
        </w:rPr>
        <w:t>)</w:t>
      </w:r>
    </w:p>
    <w:p w14:paraId="0D6E7FC9" w14:textId="21FBEE97" w:rsidR="007B7750" w:rsidRDefault="007B7750" w:rsidP="00D01836">
      <w:pPr>
        <w:pStyle w:val="Textkrper"/>
        <w:jc w:val="both"/>
        <w:rPr>
          <w:lang w:val="de-DE"/>
        </w:rPr>
      </w:pPr>
      <w:r>
        <w:rPr>
          <w:lang w:val="de-DE"/>
        </w:rPr>
        <w:t>Wie ist P1 motiviert? Smith erfüllt alle drei Klauseln des JTB-Definiens für „</w:t>
      </w:r>
      <w:r w:rsidR="00192291">
        <w:rPr>
          <w:lang w:val="de-DE"/>
        </w:rPr>
        <w:t>W</w:t>
      </w:r>
      <w:r>
        <w:rPr>
          <w:lang w:val="de-DE"/>
        </w:rPr>
        <w:t xml:space="preserve">issen“. Wie </w:t>
      </w:r>
      <w:r w:rsidR="00AD7F98">
        <w:rPr>
          <w:lang w:val="de-DE"/>
        </w:rPr>
        <w:t>i</w:t>
      </w:r>
      <w:r>
        <w:rPr>
          <w:lang w:val="de-DE"/>
        </w:rPr>
        <w:t>st P2 motiviert? Durch semantische Intuition zum Wort „</w:t>
      </w:r>
      <w:r w:rsidR="00192291">
        <w:rPr>
          <w:lang w:val="de-DE"/>
        </w:rPr>
        <w:t>W</w:t>
      </w:r>
      <w:r>
        <w:rPr>
          <w:lang w:val="de-DE"/>
        </w:rPr>
        <w:t>issen“ angesichts der Geschichte über Smith</w:t>
      </w:r>
      <w:r w:rsidR="00797690">
        <w:rPr>
          <w:lang w:val="de-DE"/>
        </w:rPr>
        <w:t xml:space="preserve"> („Der hat doch kein </w:t>
      </w:r>
      <w:r w:rsidR="00797690" w:rsidRPr="00797690">
        <w:rPr>
          <w:i/>
          <w:lang w:val="de-DE"/>
        </w:rPr>
        <w:t>Wissen</w:t>
      </w:r>
      <w:r w:rsidR="00797690">
        <w:rPr>
          <w:lang w:val="de-DE"/>
        </w:rPr>
        <w:t>!“)</w:t>
      </w:r>
      <w:r>
        <w:rPr>
          <w:lang w:val="de-DE"/>
        </w:rPr>
        <w:t>. Ist P2 wahr, so gibt es wenigstens einen Fall, der das JTB-Definiens erfüllt, aber intuitiv kein Fall von Wissen ist: den von Smith. Das JTB-Definiens ist somit für das Definiendum (den zu definierenden Asdruck) „</w:t>
      </w:r>
      <w:r w:rsidR="00D01836">
        <w:rPr>
          <w:lang w:val="de-DE"/>
        </w:rPr>
        <w:t>W</w:t>
      </w:r>
      <w:r>
        <w:rPr>
          <w:lang w:val="de-DE"/>
        </w:rPr>
        <w:t>issen“ zu weit.</w:t>
      </w:r>
    </w:p>
    <w:p w14:paraId="03F8881F" w14:textId="591776C8" w:rsidR="007B7750" w:rsidRPr="003C5B93" w:rsidRDefault="007E7730" w:rsidP="007B7750">
      <w:pPr>
        <w:pStyle w:val="Textkrper"/>
        <w:jc w:val="both"/>
        <w:rPr>
          <w:lang w:val="de-DE"/>
        </w:rPr>
      </w:pPr>
      <w:r>
        <w:rPr>
          <w:lang w:val="de-DE"/>
        </w:rPr>
        <w:t xml:space="preserve">III) </w:t>
      </w:r>
      <w:r w:rsidR="007B7750">
        <w:rPr>
          <w:lang w:val="de-DE"/>
        </w:rPr>
        <w:t>Der Kern</w:t>
      </w:r>
    </w:p>
    <w:p w14:paraId="57380D85" w14:textId="531EF669" w:rsidR="00A755C2" w:rsidRDefault="007B7750" w:rsidP="00AD7F98">
      <w:pPr>
        <w:pStyle w:val="Textkrper"/>
        <w:jc w:val="both"/>
        <w:rPr>
          <w:lang w:val="de-DE"/>
        </w:rPr>
      </w:pPr>
      <w:r>
        <w:rPr>
          <w:lang w:val="de-DE"/>
        </w:rPr>
        <w:t xml:space="preserve">Der Kern des Arguments soll P1 etablieren, indem gezeigt wird: Smith erfüllt alle drei </w:t>
      </w:r>
      <w:r w:rsidR="00AD7F98">
        <w:rPr>
          <w:lang w:val="de-DE"/>
        </w:rPr>
        <w:t>Bedingungen</w:t>
      </w:r>
      <w:r>
        <w:rPr>
          <w:lang w:val="de-DE"/>
        </w:rPr>
        <w:t xml:space="preserve"> des JTB-Definiens für „Wissen“.</w:t>
      </w:r>
      <w:r w:rsidR="00A755C2">
        <w:rPr>
          <w:lang w:val="de-DE"/>
        </w:rPr>
        <w:t xml:space="preserve"> In der folgenden Rekonstruktion soll zunächst </w:t>
      </w:r>
      <w:r w:rsidR="00A755C2">
        <w:rPr>
          <w:lang w:val="de-DE"/>
        </w:rPr>
        <w:lastRenderedPageBreak/>
        <w:t>in einer Tabelle der Status einer Reihe von Sätzen im Hinblick auf drei Parameter festgehalten werden, wie die von Gettier erzählte Geschichte ihn vorgibt.</w:t>
      </w:r>
    </w:p>
    <w:tbl>
      <w:tblPr>
        <w:tblStyle w:val="Tabellenraster1"/>
        <w:tblW w:w="0" w:type="auto"/>
        <w:tblLook w:val="04A0" w:firstRow="1" w:lastRow="0" w:firstColumn="1" w:lastColumn="0" w:noHBand="0" w:noVBand="1"/>
      </w:tblPr>
      <w:tblGrid>
        <w:gridCol w:w="4531"/>
        <w:gridCol w:w="1276"/>
        <w:gridCol w:w="1559"/>
        <w:gridCol w:w="1696"/>
      </w:tblGrid>
      <w:tr w:rsidR="00A755C2" w:rsidRPr="0013448D" w14:paraId="4F0DCDD3" w14:textId="77777777" w:rsidTr="003A364A">
        <w:tc>
          <w:tcPr>
            <w:tcW w:w="4531" w:type="dxa"/>
          </w:tcPr>
          <w:p w14:paraId="79AEF3D0" w14:textId="0C2F88BF" w:rsidR="00A755C2" w:rsidRPr="00A755C2" w:rsidRDefault="00A755C2" w:rsidP="00D409F5">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Satz</w:t>
            </w:r>
          </w:p>
        </w:tc>
        <w:tc>
          <w:tcPr>
            <w:tcW w:w="1276" w:type="dxa"/>
          </w:tcPr>
          <w:p w14:paraId="47CC6AD2" w14:textId="77777777" w:rsidR="00A755C2" w:rsidRPr="00A755C2" w:rsidRDefault="00A755C2" w:rsidP="00A755C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ist wahr</w:t>
            </w:r>
          </w:p>
        </w:tc>
        <w:tc>
          <w:tcPr>
            <w:tcW w:w="1559" w:type="dxa"/>
          </w:tcPr>
          <w:p w14:paraId="082AE8AA" w14:textId="77777777" w:rsidR="00A755C2" w:rsidRPr="00A755C2" w:rsidRDefault="00A755C2" w:rsidP="00A755C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wird von Smith geglaubt</w:t>
            </w:r>
          </w:p>
        </w:tc>
        <w:tc>
          <w:tcPr>
            <w:tcW w:w="1696" w:type="dxa"/>
          </w:tcPr>
          <w:p w14:paraId="712C6439" w14:textId="77777777" w:rsidR="00A755C2" w:rsidRPr="00A755C2" w:rsidRDefault="00A755C2" w:rsidP="00A755C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ist, was Smith gerechtfertigt ist zu glauben</w:t>
            </w:r>
          </w:p>
        </w:tc>
      </w:tr>
      <w:tr w:rsidR="00A755C2" w:rsidRPr="00A755C2" w14:paraId="73D1AF69" w14:textId="77777777" w:rsidTr="003A364A">
        <w:tc>
          <w:tcPr>
            <w:tcW w:w="4531" w:type="dxa"/>
          </w:tcPr>
          <w:p w14:paraId="5F9DFFE0" w14:textId="138012FC" w:rsidR="00A755C2" w:rsidRPr="00A755C2" w:rsidRDefault="00A755C2" w:rsidP="00A755C2">
            <w:pPr>
              <w:autoSpaceDE w:val="0"/>
              <w:autoSpaceDN w:val="0"/>
              <w:adjustRightInd w:val="0"/>
              <w:rPr>
                <w:rFonts w:eastAsia="Calibri" w:cs="Calibri"/>
                <w:sz w:val="24"/>
                <w:szCs w:val="24"/>
              </w:rPr>
            </w:pPr>
            <w:r w:rsidRPr="00A755C2">
              <w:rPr>
                <w:rFonts w:eastAsia="Calibri" w:cs="Calibri"/>
                <w:sz w:val="24"/>
                <w:szCs w:val="24"/>
              </w:rPr>
              <w:t>[1] Jones</w:t>
            </w:r>
            <w:r w:rsidRPr="003A364A">
              <w:rPr>
                <w:rFonts w:eastAsia="Calibri" w:cs="Calibri"/>
                <w:sz w:val="24"/>
                <w:szCs w:val="24"/>
              </w:rPr>
              <w:t>, und nur er,</w:t>
            </w:r>
            <w:r w:rsidRPr="00A755C2">
              <w:rPr>
                <w:rFonts w:eastAsia="Calibri" w:cs="Calibri"/>
                <w:sz w:val="24"/>
                <w:szCs w:val="24"/>
              </w:rPr>
              <w:t xml:space="preserve"> kriegt den Job.</w:t>
            </w:r>
          </w:p>
        </w:tc>
        <w:tc>
          <w:tcPr>
            <w:tcW w:w="1276" w:type="dxa"/>
          </w:tcPr>
          <w:p w14:paraId="4B6E279D" w14:textId="71851106"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c>
          <w:tcPr>
            <w:tcW w:w="1559" w:type="dxa"/>
          </w:tcPr>
          <w:p w14:paraId="5BF299CF" w14:textId="4A0F1A7D"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050389FF" w14:textId="2D02940B"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ja</w:t>
            </w:r>
          </w:p>
        </w:tc>
      </w:tr>
      <w:tr w:rsidR="00A755C2" w:rsidRPr="00A755C2" w14:paraId="1DFC0AE3" w14:textId="77777777" w:rsidTr="003A364A">
        <w:tc>
          <w:tcPr>
            <w:tcW w:w="4531" w:type="dxa"/>
          </w:tcPr>
          <w:p w14:paraId="4E433CB0" w14:textId="47BEC022" w:rsidR="00A755C2" w:rsidRPr="00A755C2" w:rsidRDefault="00A755C2" w:rsidP="00A755C2">
            <w:pPr>
              <w:autoSpaceDE w:val="0"/>
              <w:autoSpaceDN w:val="0"/>
              <w:adjustRightInd w:val="0"/>
              <w:rPr>
                <w:rFonts w:eastAsia="Calibri" w:cs="Calibri"/>
                <w:sz w:val="24"/>
                <w:szCs w:val="24"/>
              </w:rPr>
            </w:pPr>
            <w:r w:rsidRPr="00A755C2">
              <w:rPr>
                <w:rFonts w:eastAsia="Calibri" w:cs="Calibri"/>
                <w:sz w:val="24"/>
                <w:szCs w:val="24"/>
              </w:rPr>
              <w:t>[2] Jones kriegt den Job nicht.</w:t>
            </w:r>
          </w:p>
        </w:tc>
        <w:tc>
          <w:tcPr>
            <w:tcW w:w="1276" w:type="dxa"/>
          </w:tcPr>
          <w:p w14:paraId="047C1B5C" w14:textId="3C849CC8"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28324FB9" w14:textId="3D5B0A66"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2D2921A2" w14:textId="65D6A5F4"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r>
      <w:tr w:rsidR="00A755C2" w:rsidRPr="00A755C2" w14:paraId="689EB44B" w14:textId="77777777" w:rsidTr="003A364A">
        <w:tc>
          <w:tcPr>
            <w:tcW w:w="4531" w:type="dxa"/>
          </w:tcPr>
          <w:p w14:paraId="693A616E" w14:textId="56500636" w:rsidR="00A755C2" w:rsidRPr="00A755C2" w:rsidRDefault="00A755C2" w:rsidP="00A755C2">
            <w:pPr>
              <w:autoSpaceDE w:val="0"/>
              <w:autoSpaceDN w:val="0"/>
              <w:adjustRightInd w:val="0"/>
              <w:rPr>
                <w:rFonts w:eastAsia="Calibri" w:cs="Calibri"/>
                <w:sz w:val="24"/>
                <w:szCs w:val="24"/>
              </w:rPr>
            </w:pPr>
            <w:r w:rsidRPr="00A755C2">
              <w:rPr>
                <w:rFonts w:eastAsia="Calibri" w:cs="Calibri"/>
                <w:sz w:val="24"/>
                <w:szCs w:val="24"/>
              </w:rPr>
              <w:t>[3] Jones hat zehn Münzen in der Tasche.</w:t>
            </w:r>
          </w:p>
        </w:tc>
        <w:tc>
          <w:tcPr>
            <w:tcW w:w="1276" w:type="dxa"/>
          </w:tcPr>
          <w:p w14:paraId="7FB8B749" w14:textId="24994E17"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6C5C7529" w14:textId="06A9F243"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320799A9" w14:textId="4548FDC7"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r>
      <w:tr w:rsidR="00A755C2" w:rsidRPr="00A755C2" w14:paraId="75753A07" w14:textId="77777777" w:rsidTr="003A364A">
        <w:tc>
          <w:tcPr>
            <w:tcW w:w="4531" w:type="dxa"/>
          </w:tcPr>
          <w:p w14:paraId="45EDF7D8" w14:textId="77777777" w:rsidR="006A0586" w:rsidRDefault="00A755C2" w:rsidP="00A755C2">
            <w:pPr>
              <w:autoSpaceDE w:val="0"/>
              <w:autoSpaceDN w:val="0"/>
              <w:adjustRightInd w:val="0"/>
              <w:rPr>
                <w:rFonts w:eastAsia="Calibri" w:cs="Calibri"/>
                <w:sz w:val="24"/>
                <w:szCs w:val="24"/>
              </w:rPr>
            </w:pPr>
            <w:r w:rsidRPr="00A755C2">
              <w:rPr>
                <w:rFonts w:eastAsia="Calibri" w:cs="Calibri"/>
                <w:sz w:val="24"/>
                <w:szCs w:val="24"/>
              </w:rPr>
              <w:t>[4] Jones</w:t>
            </w:r>
            <w:r w:rsidRPr="003A364A">
              <w:rPr>
                <w:rFonts w:eastAsia="Calibri" w:cs="Calibri"/>
                <w:sz w:val="24"/>
                <w:szCs w:val="24"/>
              </w:rPr>
              <w:t>, und nur er,</w:t>
            </w:r>
            <w:r w:rsidRPr="00A755C2">
              <w:rPr>
                <w:rFonts w:eastAsia="Calibri" w:cs="Calibri"/>
                <w:sz w:val="24"/>
                <w:szCs w:val="24"/>
              </w:rPr>
              <w:t xml:space="preserve"> kriegt den Job</w:t>
            </w:r>
            <w:r w:rsidRPr="003A364A">
              <w:rPr>
                <w:rFonts w:eastAsia="Calibri" w:cs="Calibri"/>
                <w:sz w:val="24"/>
                <w:szCs w:val="24"/>
              </w:rPr>
              <w:t>,</w:t>
            </w:r>
            <w:r w:rsidRPr="00A755C2">
              <w:rPr>
                <w:rFonts w:eastAsia="Calibri" w:cs="Calibri"/>
                <w:sz w:val="24"/>
                <w:szCs w:val="24"/>
              </w:rPr>
              <w:t xml:space="preserve"> </w:t>
            </w:r>
          </w:p>
          <w:p w14:paraId="2B77A186" w14:textId="6A89DCF1" w:rsidR="00A755C2" w:rsidRPr="00A755C2" w:rsidRDefault="00A755C2" w:rsidP="00A755C2">
            <w:pPr>
              <w:autoSpaceDE w:val="0"/>
              <w:autoSpaceDN w:val="0"/>
              <w:adjustRightInd w:val="0"/>
              <w:rPr>
                <w:rFonts w:eastAsia="Calibri" w:cs="Calibri"/>
                <w:sz w:val="24"/>
                <w:szCs w:val="24"/>
              </w:rPr>
            </w:pPr>
            <w:r w:rsidRPr="00A755C2">
              <w:rPr>
                <w:rFonts w:eastAsia="Calibri" w:cs="Calibri"/>
                <w:sz w:val="24"/>
                <w:szCs w:val="24"/>
              </w:rPr>
              <w:t xml:space="preserve">und </w:t>
            </w:r>
            <w:r w:rsidRPr="003A364A">
              <w:rPr>
                <w:rFonts w:eastAsia="Calibri" w:cs="Calibri"/>
                <w:sz w:val="24"/>
                <w:szCs w:val="24"/>
              </w:rPr>
              <w:t xml:space="preserve">er </w:t>
            </w:r>
            <w:r w:rsidRPr="00A755C2">
              <w:rPr>
                <w:rFonts w:eastAsia="Calibri" w:cs="Calibri"/>
                <w:sz w:val="24"/>
                <w:szCs w:val="24"/>
              </w:rPr>
              <w:t>hat zehn Münzen in der Tasche.</w:t>
            </w:r>
          </w:p>
        </w:tc>
        <w:tc>
          <w:tcPr>
            <w:tcW w:w="1276" w:type="dxa"/>
          </w:tcPr>
          <w:p w14:paraId="277C6A52" w14:textId="59017368"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c>
          <w:tcPr>
            <w:tcW w:w="1559" w:type="dxa"/>
          </w:tcPr>
          <w:p w14:paraId="6B07A10E" w14:textId="1C524393"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1EBA8B0D" w14:textId="0E318A6B"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ja</w:t>
            </w:r>
          </w:p>
        </w:tc>
      </w:tr>
      <w:tr w:rsidR="00A755C2" w:rsidRPr="00A755C2" w14:paraId="7CD78135" w14:textId="77777777" w:rsidTr="003A364A">
        <w:tc>
          <w:tcPr>
            <w:tcW w:w="4531" w:type="dxa"/>
          </w:tcPr>
          <w:p w14:paraId="2D400340" w14:textId="4121D762" w:rsidR="00A755C2" w:rsidRPr="00A755C2" w:rsidRDefault="00A755C2" w:rsidP="0050240A">
            <w:pPr>
              <w:autoSpaceDE w:val="0"/>
              <w:autoSpaceDN w:val="0"/>
              <w:adjustRightInd w:val="0"/>
              <w:rPr>
                <w:rFonts w:eastAsia="Calibri" w:cs="Calibri"/>
                <w:sz w:val="24"/>
                <w:szCs w:val="24"/>
              </w:rPr>
            </w:pPr>
            <w:r w:rsidRPr="00A755C2">
              <w:rPr>
                <w:rFonts w:eastAsia="Calibri" w:cs="Calibri"/>
                <w:sz w:val="24"/>
                <w:szCs w:val="24"/>
              </w:rPr>
              <w:t>[5] Smith</w:t>
            </w:r>
            <w:r w:rsidRPr="003A364A">
              <w:rPr>
                <w:rFonts w:eastAsia="Calibri" w:cs="Calibri"/>
                <w:sz w:val="24"/>
                <w:szCs w:val="24"/>
              </w:rPr>
              <w:t>, und nur er,</w:t>
            </w:r>
            <w:r w:rsidRPr="00A755C2">
              <w:rPr>
                <w:rFonts w:eastAsia="Calibri" w:cs="Calibri"/>
                <w:sz w:val="24"/>
                <w:szCs w:val="24"/>
              </w:rPr>
              <w:t xml:space="preserve"> kriegt den Job.</w:t>
            </w:r>
          </w:p>
        </w:tc>
        <w:tc>
          <w:tcPr>
            <w:tcW w:w="1276" w:type="dxa"/>
          </w:tcPr>
          <w:p w14:paraId="0BC96686" w14:textId="5F4B5A09"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486EE5F7" w14:textId="2A9E42D8"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617912EA" w14:textId="16544902"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r>
      <w:tr w:rsidR="00A755C2" w:rsidRPr="00A755C2" w14:paraId="4A9C578E" w14:textId="77777777" w:rsidTr="003A364A">
        <w:tc>
          <w:tcPr>
            <w:tcW w:w="4531" w:type="dxa"/>
          </w:tcPr>
          <w:p w14:paraId="7284C52A" w14:textId="1DA506A5" w:rsidR="00A755C2" w:rsidRPr="00A755C2" w:rsidRDefault="003A364A" w:rsidP="003A364A">
            <w:pPr>
              <w:autoSpaceDE w:val="0"/>
              <w:autoSpaceDN w:val="0"/>
              <w:adjustRightInd w:val="0"/>
              <w:rPr>
                <w:rFonts w:eastAsia="Calibri" w:cs="Calibri"/>
                <w:sz w:val="24"/>
                <w:szCs w:val="24"/>
              </w:rPr>
            </w:pPr>
            <w:r w:rsidRPr="00A755C2">
              <w:rPr>
                <w:rFonts w:eastAsia="Calibri" w:cs="Calibri"/>
                <w:sz w:val="24"/>
                <w:szCs w:val="24"/>
              </w:rPr>
              <w:t>[6] Smith hat zehn Münzen in der Tasche.</w:t>
            </w:r>
          </w:p>
        </w:tc>
        <w:tc>
          <w:tcPr>
            <w:tcW w:w="1276" w:type="dxa"/>
          </w:tcPr>
          <w:p w14:paraId="6A8CC049" w14:textId="7B16AFED"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34B99D3E" w14:textId="58B0A49F"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4FD21C81" w14:textId="3F3322FB"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nein</w:t>
            </w:r>
          </w:p>
        </w:tc>
      </w:tr>
      <w:tr w:rsidR="00A755C2" w:rsidRPr="00A755C2" w14:paraId="2A926D56" w14:textId="77777777" w:rsidTr="003A364A">
        <w:tc>
          <w:tcPr>
            <w:tcW w:w="4531" w:type="dxa"/>
          </w:tcPr>
          <w:p w14:paraId="132FD68B" w14:textId="77777777" w:rsidR="006A0586" w:rsidRDefault="00A755C2" w:rsidP="00A755C2">
            <w:pPr>
              <w:autoSpaceDE w:val="0"/>
              <w:autoSpaceDN w:val="0"/>
              <w:adjustRightInd w:val="0"/>
              <w:rPr>
                <w:rFonts w:eastAsia="Calibri" w:cs="Calibri"/>
                <w:sz w:val="24"/>
                <w:szCs w:val="24"/>
              </w:rPr>
            </w:pPr>
            <w:r w:rsidRPr="00A755C2">
              <w:rPr>
                <w:rFonts w:eastAsia="Calibri" w:cs="Calibri"/>
                <w:sz w:val="24"/>
                <w:szCs w:val="24"/>
              </w:rPr>
              <w:t>[7]</w:t>
            </w:r>
            <w:r w:rsidR="003A364A" w:rsidRPr="003A364A">
              <w:rPr>
                <w:rFonts w:eastAsia="Calibri" w:cs="Calibri"/>
                <w:sz w:val="24"/>
                <w:szCs w:val="24"/>
              </w:rPr>
              <w:t xml:space="preserve"> </w:t>
            </w:r>
            <w:r w:rsidR="003A364A" w:rsidRPr="00A755C2">
              <w:rPr>
                <w:rFonts w:eastAsia="Calibri" w:cs="Calibri"/>
                <w:sz w:val="24"/>
                <w:szCs w:val="24"/>
              </w:rPr>
              <w:t>Smith</w:t>
            </w:r>
            <w:r w:rsidR="003A364A" w:rsidRPr="003A364A">
              <w:rPr>
                <w:rFonts w:eastAsia="Calibri" w:cs="Calibri"/>
                <w:sz w:val="24"/>
                <w:szCs w:val="24"/>
              </w:rPr>
              <w:t>, und nur er,</w:t>
            </w:r>
            <w:r w:rsidR="003A364A" w:rsidRPr="00A755C2">
              <w:rPr>
                <w:rFonts w:eastAsia="Calibri" w:cs="Calibri"/>
                <w:sz w:val="24"/>
                <w:szCs w:val="24"/>
              </w:rPr>
              <w:t xml:space="preserve"> kriegt den Job</w:t>
            </w:r>
            <w:r w:rsidR="003A364A" w:rsidRPr="003A364A">
              <w:rPr>
                <w:rFonts w:eastAsia="Calibri" w:cs="Calibri"/>
                <w:sz w:val="24"/>
                <w:szCs w:val="24"/>
              </w:rPr>
              <w:t>,</w:t>
            </w:r>
            <w:r w:rsidR="003A364A" w:rsidRPr="00A755C2">
              <w:rPr>
                <w:rFonts w:eastAsia="Calibri" w:cs="Calibri"/>
                <w:sz w:val="24"/>
                <w:szCs w:val="24"/>
              </w:rPr>
              <w:t xml:space="preserve"> </w:t>
            </w:r>
          </w:p>
          <w:p w14:paraId="6AD7C27E" w14:textId="554A01B1" w:rsidR="00A755C2" w:rsidRPr="00A755C2" w:rsidRDefault="003A364A" w:rsidP="00A755C2">
            <w:pPr>
              <w:autoSpaceDE w:val="0"/>
              <w:autoSpaceDN w:val="0"/>
              <w:adjustRightInd w:val="0"/>
              <w:rPr>
                <w:rFonts w:eastAsia="Calibri" w:cs="Calibri"/>
                <w:sz w:val="24"/>
                <w:szCs w:val="24"/>
              </w:rPr>
            </w:pPr>
            <w:r w:rsidRPr="00A755C2">
              <w:rPr>
                <w:rFonts w:eastAsia="Calibri" w:cs="Calibri"/>
                <w:sz w:val="24"/>
                <w:szCs w:val="24"/>
              </w:rPr>
              <w:t xml:space="preserve">und </w:t>
            </w:r>
            <w:r w:rsidRPr="003A364A">
              <w:rPr>
                <w:rFonts w:eastAsia="Calibri" w:cs="Calibri"/>
                <w:sz w:val="24"/>
                <w:szCs w:val="24"/>
              </w:rPr>
              <w:t xml:space="preserve">er </w:t>
            </w:r>
            <w:r w:rsidRPr="00A755C2">
              <w:rPr>
                <w:rFonts w:eastAsia="Calibri" w:cs="Calibri"/>
                <w:sz w:val="24"/>
                <w:szCs w:val="24"/>
              </w:rPr>
              <w:t>hat zehn Münzen in der Tasche.</w:t>
            </w:r>
          </w:p>
        </w:tc>
        <w:tc>
          <w:tcPr>
            <w:tcW w:w="1276" w:type="dxa"/>
          </w:tcPr>
          <w:p w14:paraId="724D48CB" w14:textId="5F9DEC60"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19EE78AD" w14:textId="75F062A3"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6C985219" w14:textId="0EFD9CD5" w:rsidR="00A755C2" w:rsidRPr="00A755C2" w:rsidRDefault="00B70D25" w:rsidP="00A755C2">
            <w:pPr>
              <w:autoSpaceDE w:val="0"/>
              <w:autoSpaceDN w:val="0"/>
              <w:adjustRightInd w:val="0"/>
              <w:rPr>
                <w:rFonts w:eastAsia="Calibri" w:cs="Calibri"/>
                <w:sz w:val="24"/>
                <w:szCs w:val="24"/>
              </w:rPr>
            </w:pPr>
            <w:r>
              <w:rPr>
                <w:rFonts w:eastAsia="Calibri" w:cs="Calibri"/>
                <w:sz w:val="24"/>
                <w:szCs w:val="24"/>
              </w:rPr>
              <w:t>nein</w:t>
            </w:r>
          </w:p>
        </w:tc>
      </w:tr>
      <w:tr w:rsidR="00A755C2" w:rsidRPr="00A755C2" w14:paraId="4CB6DC39" w14:textId="77777777" w:rsidTr="003A364A">
        <w:tc>
          <w:tcPr>
            <w:tcW w:w="4531" w:type="dxa"/>
          </w:tcPr>
          <w:p w14:paraId="7E0DDB12" w14:textId="77777777" w:rsidR="006A0586" w:rsidRDefault="003A364A" w:rsidP="003A364A">
            <w:pPr>
              <w:autoSpaceDE w:val="0"/>
              <w:autoSpaceDN w:val="0"/>
              <w:adjustRightInd w:val="0"/>
              <w:rPr>
                <w:rFonts w:eastAsia="Calibri" w:cs="Calibri"/>
                <w:sz w:val="24"/>
                <w:szCs w:val="24"/>
              </w:rPr>
            </w:pPr>
            <w:r w:rsidRPr="00A755C2">
              <w:rPr>
                <w:rFonts w:eastAsia="Calibri" w:cs="Calibri"/>
                <w:sz w:val="24"/>
                <w:szCs w:val="24"/>
              </w:rPr>
              <w:t xml:space="preserve">[8] Derjenige, der den Job kriegt, </w:t>
            </w:r>
          </w:p>
          <w:p w14:paraId="4E795794" w14:textId="2D4653E9" w:rsidR="00A755C2" w:rsidRPr="00A755C2" w:rsidRDefault="003A364A" w:rsidP="003A364A">
            <w:pPr>
              <w:autoSpaceDE w:val="0"/>
              <w:autoSpaceDN w:val="0"/>
              <w:adjustRightInd w:val="0"/>
              <w:rPr>
                <w:rFonts w:eastAsia="Calibri" w:cs="Calibri"/>
                <w:sz w:val="24"/>
                <w:szCs w:val="24"/>
              </w:rPr>
            </w:pPr>
            <w:r w:rsidRPr="00A755C2">
              <w:rPr>
                <w:rFonts w:eastAsia="Calibri" w:cs="Calibri"/>
                <w:sz w:val="24"/>
                <w:szCs w:val="24"/>
              </w:rPr>
              <w:t>hat zehn Münzen in der Tasche.</w:t>
            </w:r>
          </w:p>
        </w:tc>
        <w:tc>
          <w:tcPr>
            <w:tcW w:w="1276" w:type="dxa"/>
          </w:tcPr>
          <w:p w14:paraId="2021B2B7" w14:textId="32A0E5B1" w:rsidR="00A755C2" w:rsidRPr="00A755C2" w:rsidRDefault="00A755C2" w:rsidP="00A755C2">
            <w:pPr>
              <w:autoSpaceDE w:val="0"/>
              <w:autoSpaceDN w:val="0"/>
              <w:adjustRightInd w:val="0"/>
              <w:rPr>
                <w:rFonts w:eastAsia="Calibri" w:cs="Calibri"/>
                <w:sz w:val="24"/>
                <w:szCs w:val="24"/>
              </w:rPr>
            </w:pPr>
          </w:p>
        </w:tc>
        <w:tc>
          <w:tcPr>
            <w:tcW w:w="1559" w:type="dxa"/>
          </w:tcPr>
          <w:p w14:paraId="47D1EA2D" w14:textId="52C1A2B4" w:rsidR="00A755C2" w:rsidRPr="00A755C2" w:rsidRDefault="0096150D" w:rsidP="00A755C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5B119610" w14:textId="2FE5F212" w:rsidR="00A755C2" w:rsidRPr="00A755C2" w:rsidRDefault="00A755C2" w:rsidP="00A755C2">
            <w:pPr>
              <w:autoSpaceDE w:val="0"/>
              <w:autoSpaceDN w:val="0"/>
              <w:adjustRightInd w:val="0"/>
              <w:rPr>
                <w:rFonts w:eastAsia="Calibri" w:cs="Calibri"/>
                <w:sz w:val="24"/>
                <w:szCs w:val="24"/>
              </w:rPr>
            </w:pPr>
          </w:p>
        </w:tc>
      </w:tr>
    </w:tbl>
    <w:p w14:paraId="40409710" w14:textId="1B7B843B" w:rsidR="00C54761" w:rsidRDefault="00C54761" w:rsidP="00C54761">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[4] ist Gettiers Satz (d), [8] sein Satz (e). </w:t>
      </w:r>
    </w:p>
    <w:p w14:paraId="2E19467A" w14:textId="2AE57830" w:rsidR="008B2F00" w:rsidRDefault="001F4289" w:rsidP="001F4289">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Die entscheidende Frage ist: Muss in den beiden freien Kästen in Zeile 8 auch „ja“ stehen? Wenn das so ist, dann erfüllt Smith alle drei Klauseln des JTB-Definiens. </w:t>
      </w:r>
    </w:p>
    <w:p w14:paraId="3379A233" w14:textId="52E17383" w:rsidR="001F4289" w:rsidRDefault="001F4289" w:rsidP="001F4289">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Machen wir uns zunächst noch einige Einzelheiten zur Tabelle klar:</w:t>
      </w:r>
    </w:p>
    <w:p w14:paraId="6159304B" w14:textId="77777777" w:rsidR="001F4289" w:rsidRDefault="001F4289" w:rsidP="001F4289">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1) Zeile 1, rechte Spalte: Dies ist Gettiers Meinung. Vgl. dazu unten den Kommentar.</w:t>
      </w:r>
    </w:p>
    <w:p w14:paraId="31FA9CE7" w14:textId="044B9337" w:rsidR="00A755C2" w:rsidRDefault="001F4289" w:rsidP="0050240A">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2) Zeile 4, mittlere Spalte: Hier steht „ja“, denn </w:t>
      </w:r>
      <w:r w:rsidR="0050240A">
        <w:rPr>
          <w:rFonts w:ascii="Cambria" w:eastAsia="Calibri" w:hAnsi="Cambria" w:cs="Calibri"/>
          <w:lang w:val="de-DE"/>
        </w:rPr>
        <w:t xml:space="preserve">[4] ist die Konjunktion von [1] und [3], und wer die Teilsätze einer Konjunktion glaubt (wie Smith laut Z.1 und Z.3, mittlere Spalte), der glaubt auch die Konjunktion. </w:t>
      </w:r>
    </w:p>
    <w:p w14:paraId="7A3CFBA4" w14:textId="518421AA" w:rsidR="0050240A" w:rsidRDefault="0050240A" w:rsidP="0050240A">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3) Zeile 4, rechte Spalte: Hier steht „ja“, denn wer gerechtfertigt ist, die Teilsätze einer Konjunktion zu glauben, der ist auch gerechtfertigt, die Konjunktion zu glauben.</w:t>
      </w:r>
    </w:p>
    <w:p w14:paraId="550C4AFA" w14:textId="3BF7A808" w:rsidR="0050240A" w:rsidRDefault="0050240A" w:rsidP="0050240A">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4) Zeile 7, linke Spalte: Hier steht „ja“, denn [7] ist die Konjunktion von [5] und [6], und [5] und [6] sind beide wahr.</w:t>
      </w:r>
    </w:p>
    <w:p w14:paraId="26F620BC" w14:textId="0B24E28A" w:rsidR="00ED7B8E" w:rsidRDefault="00ED7B8E"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Als nächstes ist es wichtig, den ersten Satz des Textausschnittes zu verstehen. Darin formuliert Gettier, noch bevor er den Fall mit Smith präsentiert, eine allgemeine Regel.</w:t>
      </w:r>
    </w:p>
    <w:p w14:paraId="65F13B39" w14:textId="1F3526AD" w:rsidR="00ED7B8E" w:rsidRDefault="00ED7B8E"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Gettiers Regel: Aus </w:t>
      </w:r>
      <w:r>
        <w:rPr>
          <w:rFonts w:ascii="Cambria" w:eastAsia="Calibri" w:hAnsi="Cambria" w:cs="Calibri"/>
          <w:lang w:val="de-DE"/>
        </w:rPr>
        <w:tab/>
      </w:r>
      <w:r w:rsidR="009B6D7A">
        <w:rPr>
          <w:rFonts w:ascii="Cambria" w:eastAsia="Calibri" w:hAnsi="Cambria" w:cs="Calibri"/>
          <w:lang w:val="de-DE"/>
        </w:rPr>
        <w:t xml:space="preserve">(1) </w:t>
      </w:r>
      <w:r>
        <w:rPr>
          <w:rFonts w:ascii="Cambria" w:eastAsia="Calibri" w:hAnsi="Cambria" w:cs="Calibri"/>
          <w:lang w:val="de-DE"/>
        </w:rPr>
        <w:t>„(Subjekt) S ist berechtigt, p zu glauben“,</w:t>
      </w:r>
    </w:p>
    <w:p w14:paraId="0963BE76" w14:textId="2C0341C9" w:rsidR="00ED7B8E" w:rsidRDefault="00ED7B8E"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b/>
      </w:r>
      <w:r>
        <w:rPr>
          <w:rFonts w:ascii="Cambria" w:eastAsia="Calibri" w:hAnsi="Cambria" w:cs="Calibri"/>
          <w:lang w:val="de-DE"/>
        </w:rPr>
        <w:tab/>
      </w:r>
      <w:r>
        <w:rPr>
          <w:rFonts w:ascii="Cambria" w:eastAsia="Calibri" w:hAnsi="Cambria" w:cs="Calibri"/>
          <w:lang w:val="de-DE"/>
        </w:rPr>
        <w:tab/>
      </w:r>
      <w:r w:rsidR="009B6D7A">
        <w:rPr>
          <w:rFonts w:ascii="Cambria" w:eastAsia="Calibri" w:hAnsi="Cambria" w:cs="Calibri"/>
          <w:lang w:val="de-DE"/>
        </w:rPr>
        <w:t xml:space="preserve">(2) </w:t>
      </w:r>
      <w:r>
        <w:rPr>
          <w:rFonts w:ascii="Cambria" w:eastAsia="Calibri" w:hAnsi="Cambria" w:cs="Calibri"/>
          <w:lang w:val="de-DE"/>
        </w:rPr>
        <w:t>„p impliziert q“ und</w:t>
      </w:r>
    </w:p>
    <w:p w14:paraId="46C98203" w14:textId="2BE0E875" w:rsidR="00ED7B8E" w:rsidRDefault="00ED7B8E"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b/>
      </w:r>
      <w:r>
        <w:rPr>
          <w:rFonts w:ascii="Cambria" w:eastAsia="Calibri" w:hAnsi="Cambria" w:cs="Calibri"/>
          <w:lang w:val="de-DE"/>
        </w:rPr>
        <w:tab/>
      </w:r>
      <w:r>
        <w:rPr>
          <w:rFonts w:ascii="Cambria" w:eastAsia="Calibri" w:hAnsi="Cambria" w:cs="Calibri"/>
          <w:lang w:val="de-DE"/>
        </w:rPr>
        <w:tab/>
      </w:r>
      <w:r w:rsidR="009B6D7A">
        <w:rPr>
          <w:rFonts w:ascii="Cambria" w:eastAsia="Calibri" w:hAnsi="Cambria" w:cs="Calibri"/>
          <w:lang w:val="de-DE"/>
        </w:rPr>
        <w:t xml:space="preserve">(3) </w:t>
      </w:r>
      <w:r>
        <w:rPr>
          <w:rFonts w:ascii="Cambria" w:eastAsia="Calibri" w:hAnsi="Cambria" w:cs="Calibri"/>
          <w:lang w:val="de-DE"/>
        </w:rPr>
        <w:t>„S versteht, dass p q impliziert“ folgt:</w:t>
      </w:r>
    </w:p>
    <w:p w14:paraId="03189BD5" w14:textId="77777777" w:rsidR="009B6D7A" w:rsidRDefault="00ED7B8E"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b/>
      </w:r>
      <w:r>
        <w:rPr>
          <w:rFonts w:ascii="Cambria" w:eastAsia="Calibri" w:hAnsi="Cambria" w:cs="Calibri"/>
          <w:lang w:val="de-DE"/>
        </w:rPr>
        <w:tab/>
      </w:r>
      <w:r>
        <w:rPr>
          <w:rFonts w:ascii="Cambria" w:eastAsia="Calibri" w:hAnsi="Cambria" w:cs="Calibri"/>
          <w:lang w:val="de-DE"/>
        </w:rPr>
        <w:tab/>
        <w:t>„S ist berechtigt, q zu glauben.“</w:t>
      </w:r>
    </w:p>
    <w:p w14:paraId="21973D22" w14:textId="77777777" w:rsidR="0067468B" w:rsidRDefault="009B6D7A" w:rsidP="00ED7B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„p impliziert q“ heißt dasselbe wie „q folgt aus p“: Es kann nicht sein, dass, wenn p wahr ist, q nicht wahr ist.“ Dafür, dass p q impliziert, ist es nicht notwendig, dass p wahr ist.</w:t>
      </w:r>
    </w:p>
    <w:p w14:paraId="3D21912A" w14:textId="406E5723" w:rsidR="0040349A" w:rsidRDefault="0067468B" w:rsidP="0067468B">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lastRenderedPageBreak/>
        <w:t>Nun ein wenig Theorie der Kennzeich</w:t>
      </w:r>
      <w:r w:rsidR="00214710">
        <w:rPr>
          <w:rFonts w:ascii="Cambria" w:eastAsia="Calibri" w:hAnsi="Cambria" w:cs="Calibri"/>
          <w:lang w:val="de-DE"/>
        </w:rPr>
        <w:t>n</w:t>
      </w:r>
      <w:r>
        <w:rPr>
          <w:rFonts w:ascii="Cambria" w:eastAsia="Calibri" w:hAnsi="Cambria" w:cs="Calibri"/>
          <w:lang w:val="de-DE"/>
        </w:rPr>
        <w:t xml:space="preserve">ungen, insoweit man sie für den ersten Gettier-Fall braucht. </w:t>
      </w:r>
    </w:p>
    <w:p w14:paraId="7BFECFE9" w14:textId="77777777" w:rsidR="0040349A" w:rsidRDefault="0040349A" w:rsidP="0067468B">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b/>
      </w:r>
      <w:r w:rsidR="0067468B">
        <w:rPr>
          <w:rFonts w:ascii="Cambria" w:eastAsia="Calibri" w:hAnsi="Cambria" w:cs="Calibri"/>
          <w:lang w:val="de-DE"/>
        </w:rPr>
        <w:t xml:space="preserve">„Derjenige, der die Bedingung F erfüllt, erfüllt die Bedingung G“ </w:t>
      </w:r>
    </w:p>
    <w:p w14:paraId="1AC6460D" w14:textId="76069BF4" w:rsidR="0040349A" w:rsidRDefault="0067468B" w:rsidP="0067468B">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ist genau dann wahr, wenn das Folgende wahr ist: </w:t>
      </w:r>
    </w:p>
    <w:p w14:paraId="046FFE5C" w14:textId="77777777" w:rsidR="0040349A" w:rsidRDefault="0040349A" w:rsidP="0040349A">
      <w:pPr>
        <w:autoSpaceDE w:val="0"/>
        <w:autoSpaceDN w:val="0"/>
        <w:adjustRightInd w:val="0"/>
        <w:spacing w:after="0"/>
        <w:jc w:val="both"/>
        <w:rPr>
          <w:rFonts w:ascii="Cambria" w:eastAsia="Calibri" w:hAnsi="Cambria" w:cs="Calibri"/>
          <w:lang w:val="de-DE"/>
        </w:rPr>
      </w:pPr>
      <w:r>
        <w:rPr>
          <w:rFonts w:ascii="Cambria" w:eastAsia="Calibri" w:hAnsi="Cambria" w:cs="Calibri"/>
          <w:lang w:val="de-DE"/>
        </w:rPr>
        <w:tab/>
      </w:r>
      <w:r w:rsidR="0067468B">
        <w:rPr>
          <w:rFonts w:ascii="Cambria" w:eastAsia="Calibri" w:hAnsi="Cambria" w:cs="Calibri"/>
          <w:lang w:val="de-DE"/>
        </w:rPr>
        <w:t xml:space="preserve">„Es gibt jemanden, so dass er, und nur er, die Bedingung F erfüllt, </w:t>
      </w:r>
    </w:p>
    <w:p w14:paraId="5EE905C6" w14:textId="577DC7B1" w:rsidR="00AD7F98" w:rsidRDefault="0040349A" w:rsidP="0040349A">
      <w:pPr>
        <w:autoSpaceDE w:val="0"/>
        <w:autoSpaceDN w:val="0"/>
        <w:adjustRightInd w:val="0"/>
        <w:spacing w:after="0"/>
        <w:jc w:val="both"/>
        <w:rPr>
          <w:rFonts w:ascii="Cambria" w:eastAsia="Calibri" w:hAnsi="Cambria" w:cs="Calibri"/>
          <w:lang w:val="de-DE"/>
        </w:rPr>
      </w:pPr>
      <w:r>
        <w:rPr>
          <w:rFonts w:ascii="Cambria" w:eastAsia="Calibri" w:hAnsi="Cambria" w:cs="Calibri"/>
          <w:lang w:val="de-DE"/>
        </w:rPr>
        <w:tab/>
      </w:r>
      <w:r w:rsidR="0067468B">
        <w:rPr>
          <w:rFonts w:ascii="Cambria" w:eastAsia="Calibri" w:hAnsi="Cambria" w:cs="Calibri"/>
          <w:lang w:val="de-DE"/>
        </w:rPr>
        <w:t>und er außerdem die Bedingung G erfüllt.“</w:t>
      </w:r>
    </w:p>
    <w:p w14:paraId="49BEE620" w14:textId="11991D08" w:rsidR="008B2F00" w:rsidRDefault="00AD7F98" w:rsidP="004260DD">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Schließlich brauchen wir noch</w:t>
      </w:r>
      <w:r w:rsidR="008B2F00">
        <w:rPr>
          <w:rFonts w:ascii="Cambria" w:eastAsia="Calibri" w:hAnsi="Cambria" w:cs="Calibri"/>
          <w:lang w:val="de-DE"/>
        </w:rPr>
        <w:t xml:space="preserve"> eine allgemeine </w:t>
      </w:r>
      <w:r w:rsidR="004260DD">
        <w:rPr>
          <w:rFonts w:ascii="Cambria" w:eastAsia="Calibri" w:hAnsi="Cambria" w:cs="Calibri"/>
          <w:lang w:val="de-DE"/>
        </w:rPr>
        <w:t xml:space="preserve">logische </w:t>
      </w:r>
      <w:r w:rsidR="008B2F00">
        <w:rPr>
          <w:rFonts w:ascii="Cambria" w:eastAsia="Calibri" w:hAnsi="Cambria" w:cs="Calibri"/>
          <w:lang w:val="de-DE"/>
        </w:rPr>
        <w:t>Regel</w:t>
      </w:r>
      <w:r w:rsidR="004260DD">
        <w:rPr>
          <w:rFonts w:ascii="Cambria" w:eastAsia="Calibri" w:hAnsi="Cambria" w:cs="Calibri"/>
          <w:lang w:val="de-DE"/>
        </w:rPr>
        <w:t>,</w:t>
      </w:r>
      <w:r w:rsidR="008B2F00">
        <w:rPr>
          <w:rFonts w:ascii="Cambria" w:eastAsia="Calibri" w:hAnsi="Cambria" w:cs="Calibri"/>
          <w:lang w:val="de-DE"/>
        </w:rPr>
        <w:t xml:space="preserve"> die existentielle Generalisierung, EG (hier für Personen formuliert).</w:t>
      </w:r>
    </w:p>
    <w:p w14:paraId="0E0E0446" w14:textId="285DFA01" w:rsidR="008B2F00" w:rsidRDefault="008B2F00" w:rsidP="008B2F00">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EG:</w:t>
      </w:r>
      <w:r>
        <w:rPr>
          <w:rFonts w:ascii="Cambria" w:eastAsia="Calibri" w:hAnsi="Cambria" w:cs="Calibri"/>
          <w:lang w:val="de-DE"/>
        </w:rPr>
        <w:tab/>
        <w:t xml:space="preserve">Aus </w:t>
      </w:r>
      <w:r>
        <w:rPr>
          <w:rFonts w:ascii="Cambria" w:eastAsia="Calibri" w:hAnsi="Cambria" w:cs="Calibri"/>
          <w:lang w:val="de-DE"/>
        </w:rPr>
        <w:tab/>
      </w:r>
      <w:r>
        <w:rPr>
          <w:rFonts w:ascii="Cambria" w:eastAsia="Calibri" w:hAnsi="Cambria" w:cs="Calibri"/>
          <w:lang w:val="de-DE"/>
        </w:rPr>
        <w:tab/>
        <w:t>„A erfüllt die Bedingung F“ folgt:</w:t>
      </w:r>
    </w:p>
    <w:p w14:paraId="1303F5F0" w14:textId="39FB711B" w:rsidR="008B2F00" w:rsidRDefault="008B2F00" w:rsidP="008B2F00">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b/>
      </w:r>
      <w:r>
        <w:rPr>
          <w:rFonts w:ascii="Cambria" w:eastAsia="Calibri" w:hAnsi="Cambria" w:cs="Calibri"/>
          <w:lang w:val="de-DE"/>
        </w:rPr>
        <w:tab/>
      </w:r>
      <w:r>
        <w:rPr>
          <w:rFonts w:ascii="Cambria" w:eastAsia="Calibri" w:hAnsi="Cambria" w:cs="Calibri"/>
          <w:lang w:val="de-DE"/>
        </w:rPr>
        <w:tab/>
        <w:t>„Es gibt jemanden, der die Bedingung F erfüllt.“</w:t>
      </w:r>
    </w:p>
    <w:p w14:paraId="7E2EF14C" w14:textId="0054541C" w:rsidR="004260DD" w:rsidRDefault="004260DD" w:rsidP="004260DD">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Diese Regel ist in der klassischen Prädikatenlogik 1. Stufe tief verankert.</w:t>
      </w:r>
    </w:p>
    <w:p w14:paraId="640B887F" w14:textId="3A6DC438" w:rsidR="008B2F00" w:rsidRDefault="008B2F00" w:rsidP="008B2F00">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Jetzt sind wir in der Lage, die beiden freien Kästen in </w:t>
      </w:r>
      <w:r w:rsidR="0040349A">
        <w:rPr>
          <w:rFonts w:ascii="Cambria" w:eastAsia="Calibri" w:hAnsi="Cambria" w:cs="Calibri"/>
          <w:lang w:val="de-DE"/>
        </w:rPr>
        <w:t xml:space="preserve">Zeile 8 </w:t>
      </w:r>
      <w:r>
        <w:rPr>
          <w:rFonts w:ascii="Cambria" w:eastAsia="Calibri" w:hAnsi="Cambria" w:cs="Calibri"/>
          <w:lang w:val="de-DE"/>
        </w:rPr>
        <w:t xml:space="preserve">der Tabelle zu füllen.  </w:t>
      </w:r>
    </w:p>
    <w:p w14:paraId="7DC6A8F9" w14:textId="1D2AD220" w:rsidR="0040349A" w:rsidRDefault="0040349A" w:rsidP="0067468B">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Zunächst zur</w:t>
      </w:r>
      <w:r w:rsidR="0067468B">
        <w:rPr>
          <w:rFonts w:ascii="Cambria" w:eastAsia="Calibri" w:hAnsi="Cambria" w:cs="Calibri"/>
          <w:lang w:val="de-DE"/>
        </w:rPr>
        <w:t xml:space="preserve"> </w:t>
      </w:r>
      <w:r>
        <w:rPr>
          <w:rFonts w:ascii="Cambria" w:eastAsia="Calibri" w:hAnsi="Cambria" w:cs="Calibri"/>
          <w:lang w:val="de-DE"/>
        </w:rPr>
        <w:t>linken Spalte. Folgt [8] aus [7]? Ja. Denn aus [7] folgt mit EG:</w:t>
      </w:r>
    </w:p>
    <w:p w14:paraId="70189622" w14:textId="31958A82" w:rsidR="0040349A" w:rsidRDefault="009A1117" w:rsidP="00331D8E">
      <w:pPr>
        <w:autoSpaceDE w:val="0"/>
        <w:autoSpaceDN w:val="0"/>
        <w:adjustRightInd w:val="0"/>
        <w:spacing w:after="0"/>
        <w:jc w:val="both"/>
        <w:rPr>
          <w:rFonts w:ascii="Cambria" w:eastAsia="Calibri" w:hAnsi="Cambria" w:cs="Calibri"/>
          <w:lang w:val="de-DE"/>
        </w:rPr>
      </w:pPr>
      <w:r>
        <w:rPr>
          <w:rFonts w:ascii="Cambria" w:eastAsia="Calibri" w:hAnsi="Cambria" w:cs="Calibri"/>
          <w:lang w:val="de-DE"/>
        </w:rPr>
        <w:t>[</w:t>
      </w:r>
      <w:r w:rsidR="00331D8E">
        <w:rPr>
          <w:rFonts w:ascii="Cambria" w:eastAsia="Calibri" w:hAnsi="Cambria" w:cs="Calibri"/>
          <w:lang w:val="de-DE"/>
        </w:rPr>
        <w:t>8a</w:t>
      </w:r>
      <w:r>
        <w:rPr>
          <w:rFonts w:ascii="Cambria" w:eastAsia="Calibri" w:hAnsi="Cambria" w:cs="Calibri"/>
          <w:lang w:val="de-DE"/>
        </w:rPr>
        <w:t>]</w:t>
      </w:r>
      <w:r w:rsidR="0067468B">
        <w:rPr>
          <w:rFonts w:ascii="Cambria" w:eastAsia="Calibri" w:hAnsi="Cambria" w:cs="Calibri"/>
          <w:lang w:val="de-DE"/>
        </w:rPr>
        <w:t xml:space="preserve">   </w:t>
      </w:r>
      <w:r w:rsidR="009B6D7A">
        <w:rPr>
          <w:rFonts w:ascii="Cambria" w:eastAsia="Calibri" w:hAnsi="Cambria" w:cs="Calibri"/>
          <w:lang w:val="de-DE"/>
        </w:rPr>
        <w:t xml:space="preserve"> </w:t>
      </w:r>
      <w:r w:rsidR="00ED7B8E">
        <w:rPr>
          <w:rFonts w:ascii="Cambria" w:eastAsia="Calibri" w:hAnsi="Cambria" w:cs="Calibri"/>
          <w:lang w:val="de-DE"/>
        </w:rPr>
        <w:tab/>
      </w:r>
      <w:r w:rsidR="0040349A">
        <w:rPr>
          <w:rFonts w:ascii="Cambria" w:eastAsia="Calibri" w:hAnsi="Cambria" w:cs="Calibri"/>
          <w:lang w:val="de-DE"/>
        </w:rPr>
        <w:t xml:space="preserve">„Es gibt jemanden, so dass er, und nur er, den Job kriegt, </w:t>
      </w:r>
    </w:p>
    <w:p w14:paraId="33C1E800" w14:textId="767600C6" w:rsidR="00ED7B8E" w:rsidRDefault="0040349A" w:rsidP="009A1117">
      <w:pPr>
        <w:autoSpaceDE w:val="0"/>
        <w:autoSpaceDN w:val="0"/>
        <w:adjustRightInd w:val="0"/>
        <w:spacing w:after="0"/>
        <w:jc w:val="both"/>
        <w:rPr>
          <w:rFonts w:ascii="Cambria" w:eastAsia="Calibri" w:hAnsi="Cambria" w:cs="Calibri"/>
          <w:lang w:val="de-DE"/>
        </w:rPr>
      </w:pPr>
      <w:r>
        <w:rPr>
          <w:rFonts w:ascii="Cambria" w:eastAsia="Calibri" w:hAnsi="Cambria" w:cs="Calibri"/>
          <w:lang w:val="de-DE"/>
        </w:rPr>
        <w:tab/>
        <w:t>und er außerdem 10 Münzen in der Tasche hat.“</w:t>
      </w:r>
    </w:p>
    <w:p w14:paraId="2808A6AA" w14:textId="0D45322F" w:rsidR="0040349A" w:rsidRDefault="00331D8E" w:rsidP="00331D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[8a</w:t>
      </w:r>
      <w:r w:rsidR="009A1117">
        <w:rPr>
          <w:rFonts w:ascii="Cambria" w:eastAsia="Calibri" w:hAnsi="Cambria" w:cs="Calibri"/>
          <w:lang w:val="de-DE"/>
        </w:rPr>
        <w:t>]</w:t>
      </w:r>
      <w:r w:rsidR="0040349A">
        <w:rPr>
          <w:rFonts w:ascii="Cambria" w:eastAsia="Calibri" w:hAnsi="Cambria" w:cs="Calibri"/>
          <w:lang w:val="de-DE"/>
        </w:rPr>
        <w:t xml:space="preserve"> </w:t>
      </w:r>
      <w:r>
        <w:rPr>
          <w:rFonts w:ascii="Cambria" w:eastAsia="Calibri" w:hAnsi="Cambria" w:cs="Calibri"/>
          <w:lang w:val="de-DE"/>
        </w:rPr>
        <w:t xml:space="preserve">lässt sich </w:t>
      </w:r>
      <w:r w:rsidR="0040349A">
        <w:rPr>
          <w:rFonts w:ascii="Cambria" w:eastAsia="Calibri" w:hAnsi="Cambria" w:cs="Calibri"/>
          <w:lang w:val="de-DE"/>
        </w:rPr>
        <w:t>mit der Theorie der Kennzeich</w:t>
      </w:r>
      <w:r w:rsidR="00214710">
        <w:rPr>
          <w:rFonts w:ascii="Cambria" w:eastAsia="Calibri" w:hAnsi="Cambria" w:cs="Calibri"/>
          <w:lang w:val="de-DE"/>
        </w:rPr>
        <w:t>n</w:t>
      </w:r>
      <w:r w:rsidR="0040349A">
        <w:rPr>
          <w:rFonts w:ascii="Cambria" w:eastAsia="Calibri" w:hAnsi="Cambria" w:cs="Calibri"/>
          <w:lang w:val="de-DE"/>
        </w:rPr>
        <w:t xml:space="preserve">ungen </w:t>
      </w:r>
      <w:r>
        <w:rPr>
          <w:rFonts w:ascii="Cambria" w:eastAsia="Calibri" w:hAnsi="Cambria" w:cs="Calibri"/>
          <w:lang w:val="de-DE"/>
        </w:rPr>
        <w:t xml:space="preserve">umformen in </w:t>
      </w:r>
      <w:r w:rsidR="0040349A">
        <w:rPr>
          <w:rFonts w:ascii="Cambria" w:eastAsia="Calibri" w:hAnsi="Cambria" w:cs="Calibri"/>
          <w:lang w:val="de-DE"/>
        </w:rPr>
        <w:t>[8]. Diese Beobachtung allein rechtfertigt noch nicht den Eintrag „ja“ in der linken Spalte von Zeile 8. Dazu muss [7] obendrein wahr sein: Wenn [7] [8] impliziert und [7], wahr ist, dann muss [8] wahr sein. Nun ist aber [7] wahr. Also ist [8] wahr.</w:t>
      </w:r>
      <w:r w:rsidR="00A23D2D">
        <w:rPr>
          <w:rFonts w:ascii="Cambria" w:eastAsia="Calibri" w:hAnsi="Cambria" w:cs="Calibri"/>
          <w:lang w:val="de-DE"/>
        </w:rPr>
        <w:t xml:space="preserve"> In den linken Kasten von Zeile 8 gehört ein „ja“.</w:t>
      </w:r>
      <w:r w:rsidR="0040349A">
        <w:rPr>
          <w:rFonts w:ascii="Cambria" w:eastAsia="Calibri" w:hAnsi="Cambria" w:cs="Calibri"/>
          <w:lang w:val="de-DE"/>
        </w:rPr>
        <w:t xml:space="preserve">  </w:t>
      </w:r>
    </w:p>
    <w:p w14:paraId="78F9F5C8" w14:textId="42409579" w:rsidR="009A1117" w:rsidRDefault="0040349A" w:rsidP="00331D8E">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Nun zur rechten Spalte. Die entscheidende Frage ist: Folgt [8] aus [4]? Ja. </w:t>
      </w:r>
      <w:r w:rsidR="009A1117">
        <w:rPr>
          <w:rFonts w:ascii="Cambria" w:eastAsia="Calibri" w:hAnsi="Cambria" w:cs="Calibri"/>
          <w:lang w:val="de-DE"/>
        </w:rPr>
        <w:t>Denn auch aus [4] folgt mit EG [</w:t>
      </w:r>
      <w:r w:rsidR="00331D8E">
        <w:rPr>
          <w:rFonts w:ascii="Cambria" w:eastAsia="Calibri" w:hAnsi="Cambria" w:cs="Calibri"/>
          <w:lang w:val="de-DE"/>
        </w:rPr>
        <w:t>8a</w:t>
      </w:r>
      <w:r w:rsidR="009A1117">
        <w:rPr>
          <w:rFonts w:ascii="Cambria" w:eastAsia="Calibri" w:hAnsi="Cambria" w:cs="Calibri"/>
          <w:lang w:val="de-DE"/>
        </w:rPr>
        <w:t>]. Und [</w:t>
      </w:r>
      <w:r w:rsidR="00331D8E">
        <w:rPr>
          <w:rFonts w:ascii="Cambria" w:eastAsia="Calibri" w:hAnsi="Cambria" w:cs="Calibri"/>
          <w:lang w:val="de-DE"/>
        </w:rPr>
        <w:t>8</w:t>
      </w:r>
      <w:r w:rsidR="009A1117">
        <w:rPr>
          <w:rFonts w:ascii="Cambria" w:eastAsia="Calibri" w:hAnsi="Cambria" w:cs="Calibri"/>
          <w:lang w:val="de-DE"/>
        </w:rPr>
        <w:t xml:space="preserve">b] </w:t>
      </w:r>
      <w:r w:rsidR="00331D8E">
        <w:rPr>
          <w:rFonts w:ascii="Cambria" w:eastAsia="Calibri" w:hAnsi="Cambria" w:cs="Calibri"/>
          <w:lang w:val="de-DE"/>
        </w:rPr>
        <w:t xml:space="preserve">lässt sich </w:t>
      </w:r>
      <w:r w:rsidR="009A1117">
        <w:rPr>
          <w:rFonts w:ascii="Cambria" w:eastAsia="Calibri" w:hAnsi="Cambria" w:cs="Calibri"/>
          <w:lang w:val="de-DE"/>
        </w:rPr>
        <w:t>mit der Theorie der Kennzeich</w:t>
      </w:r>
      <w:r w:rsidR="00214710">
        <w:rPr>
          <w:rFonts w:ascii="Cambria" w:eastAsia="Calibri" w:hAnsi="Cambria" w:cs="Calibri"/>
          <w:lang w:val="de-DE"/>
        </w:rPr>
        <w:t>n</w:t>
      </w:r>
      <w:r w:rsidR="009A1117">
        <w:rPr>
          <w:rFonts w:ascii="Cambria" w:eastAsia="Calibri" w:hAnsi="Cambria" w:cs="Calibri"/>
          <w:lang w:val="de-DE"/>
        </w:rPr>
        <w:t xml:space="preserve">ungen </w:t>
      </w:r>
      <w:r w:rsidR="00331D8E">
        <w:rPr>
          <w:rFonts w:ascii="Cambria" w:eastAsia="Calibri" w:hAnsi="Cambria" w:cs="Calibri"/>
          <w:lang w:val="de-DE"/>
        </w:rPr>
        <w:t xml:space="preserve">umformen in </w:t>
      </w:r>
      <w:r w:rsidR="009A1117">
        <w:rPr>
          <w:rFonts w:ascii="Cambria" w:eastAsia="Calibri" w:hAnsi="Cambria" w:cs="Calibri"/>
          <w:lang w:val="de-DE"/>
        </w:rPr>
        <w:t>[8]. Dafür, dass [8] aus [4] folgt, ist es nicht notwendig, dass [4] wahr ist. Und tatsächlich ist [4] ja auch falsch (linke Spalte in Zeile 4). Aber das ist egal für die folgende Anwendung von Gettiers Regel:</w:t>
      </w:r>
    </w:p>
    <w:p w14:paraId="581B7286" w14:textId="78386A02" w:rsidR="009A1117" w:rsidRDefault="009A1117" w:rsidP="009A1117">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(1) Smith ist berechtigt, [4] zu glauben (Zeile 1, links).</w:t>
      </w:r>
    </w:p>
    <w:p w14:paraId="57BDD36C" w14:textId="77777777" w:rsidR="00A23D2D" w:rsidRDefault="009A1117" w:rsidP="009A1117">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(2) [4] impliziert [8] (wie soeben gezeigt).</w:t>
      </w:r>
    </w:p>
    <w:p w14:paraId="5BAE0F1F" w14:textId="6A08B120" w:rsidR="009A1117" w:rsidRDefault="009A1117" w:rsidP="00EB42D4">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(3) Smith versteht, dass [4] [8] impliziert (Smith glaubt [8] gerade deshalb</w:t>
      </w:r>
      <w:r w:rsidR="009720B1">
        <w:rPr>
          <w:rFonts w:ascii="Cambria" w:eastAsia="Calibri" w:hAnsi="Cambria" w:cs="Calibri"/>
          <w:lang w:val="de-DE"/>
        </w:rPr>
        <w:t>,</w:t>
      </w:r>
      <w:r>
        <w:rPr>
          <w:rFonts w:ascii="Cambria" w:eastAsia="Calibri" w:hAnsi="Cambria" w:cs="Calibri"/>
          <w:lang w:val="de-DE"/>
        </w:rPr>
        <w:t xml:space="preserve"> weil er [</w:t>
      </w:r>
      <w:r w:rsidR="00EB42D4">
        <w:rPr>
          <w:rFonts w:ascii="Cambria" w:eastAsia="Calibri" w:hAnsi="Cambria" w:cs="Calibri"/>
          <w:lang w:val="de-DE"/>
        </w:rPr>
        <w:t>4</w:t>
      </w:r>
      <w:r>
        <w:rPr>
          <w:rFonts w:ascii="Cambria" w:eastAsia="Calibri" w:hAnsi="Cambria" w:cs="Calibri"/>
          <w:lang w:val="de-DE"/>
        </w:rPr>
        <w:t xml:space="preserve">] </w:t>
      </w:r>
      <w:r w:rsidR="00A23D2D">
        <w:rPr>
          <w:rFonts w:ascii="Cambria" w:eastAsia="Calibri" w:hAnsi="Cambria" w:cs="Calibri"/>
          <w:lang w:val="de-DE"/>
        </w:rPr>
        <w:t>glaubt</w:t>
      </w:r>
      <w:r>
        <w:rPr>
          <w:rFonts w:ascii="Cambria" w:eastAsia="Calibri" w:hAnsi="Cambria" w:cs="Calibri"/>
          <w:lang w:val="de-DE"/>
        </w:rPr>
        <w:t>).</w:t>
      </w:r>
    </w:p>
    <w:p w14:paraId="3ADD7CE5" w14:textId="3C66CFB7" w:rsidR="0040349A" w:rsidRDefault="009A1117" w:rsidP="009A1117">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Also ist Smith berechtigt, [8] zu glauben.</w:t>
      </w:r>
    </w:p>
    <w:p w14:paraId="242763F8" w14:textId="77777777" w:rsidR="004260DD" w:rsidRDefault="00A23D2D" w:rsidP="00A23D2D">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 xml:space="preserve">Auch in den rechten Kasten von Zeile 8 gehört ein „ja“. </w:t>
      </w:r>
    </w:p>
    <w:p w14:paraId="4F3B7F8A" w14:textId="3E2B74AA" w:rsidR="00A23D2D" w:rsidRPr="00A755C2" w:rsidRDefault="00A23D2D" w:rsidP="00A23D2D">
      <w:pPr>
        <w:autoSpaceDE w:val="0"/>
        <w:autoSpaceDN w:val="0"/>
        <w:adjustRightInd w:val="0"/>
        <w:spacing w:before="180" w:after="180"/>
        <w:jc w:val="both"/>
        <w:rPr>
          <w:rFonts w:ascii="Cambria" w:eastAsia="Calibri" w:hAnsi="Cambria" w:cs="Calibri"/>
          <w:lang w:val="de-DE"/>
        </w:rPr>
      </w:pPr>
      <w:r>
        <w:rPr>
          <w:rFonts w:ascii="Cambria" w:eastAsia="Calibri" w:hAnsi="Cambria" w:cs="Calibri"/>
          <w:lang w:val="de-DE"/>
        </w:rPr>
        <w:t>Damit erfüllt Smith alle drei Bedingungen des JTB-Definiens, und P1 ist motiviert.</w:t>
      </w:r>
    </w:p>
    <w:p w14:paraId="01C23E5B" w14:textId="77777777" w:rsidR="00FA3ED0" w:rsidRPr="00CD0582" w:rsidRDefault="008765BA">
      <w:pPr>
        <w:pStyle w:val="berschrift2"/>
        <w:rPr>
          <w:lang w:val="de-DE"/>
        </w:rPr>
      </w:pPr>
      <w:bookmarkStart w:id="3" w:name="kommentar"/>
      <w:r w:rsidRPr="00CD0582">
        <w:rPr>
          <w:lang w:val="de-DE"/>
        </w:rPr>
        <w:t>Kommentar</w:t>
      </w:r>
      <w:bookmarkEnd w:id="3"/>
    </w:p>
    <w:p w14:paraId="2EE68B52" w14:textId="77777777" w:rsidR="00175188" w:rsidRDefault="00A23D2D" w:rsidP="00A23D2D">
      <w:pPr>
        <w:pStyle w:val="FirstParagraph"/>
        <w:jc w:val="both"/>
        <w:rPr>
          <w:lang w:val="de-DE"/>
        </w:rPr>
      </w:pPr>
      <w:r>
        <w:rPr>
          <w:lang w:val="de-DE"/>
        </w:rPr>
        <w:t xml:space="preserve">Der </w:t>
      </w:r>
      <w:r w:rsidRPr="00A23D2D">
        <w:rPr>
          <w:i/>
          <w:lang w:val="de-DE"/>
        </w:rPr>
        <w:t>modus tollens</w:t>
      </w:r>
      <w:r>
        <w:rPr>
          <w:lang w:val="de-DE"/>
        </w:rPr>
        <w:t xml:space="preserve"> der Schale ist ein deduktiv gültiger Schluss der klassischen Aussagenlogik. Es fragt sich, ob das Argument stichhaltig ist. Wenn ja, dann widerlegt es die JTB-Definition von „wissen“. Es ist stichhaltig, wenn P1 und P2 wahr sind. Das Argument wird heute </w:t>
      </w:r>
      <w:r>
        <w:rPr>
          <w:lang w:val="de-DE"/>
        </w:rPr>
        <w:lastRenderedPageBreak/>
        <w:t>überwiegend für stichhaltig gehalten. Dennoch lohnt es sich, zu schauen, ob es denkbar ist, die Prämissen zu bestreiten.</w:t>
      </w:r>
    </w:p>
    <w:p w14:paraId="45240C6F" w14:textId="11F3E61E" w:rsidR="00175188" w:rsidRDefault="00175188" w:rsidP="00175188">
      <w:pPr>
        <w:pStyle w:val="FirstParagraph"/>
        <w:jc w:val="both"/>
        <w:rPr>
          <w:lang w:val="de-DE"/>
        </w:rPr>
      </w:pPr>
      <w:r>
        <w:rPr>
          <w:lang w:val="de-DE"/>
        </w:rPr>
        <w:t>An P2 fällt auf, dass sich Gettier für ihre Wahrheit ganz auf die semantische Intuition zum Wort „wissen“/“know“ verlässt („clearly“). Jemand, der partout an der JTB-Definition festhalten will und P1 zugibt, könnte sich stur stellen und sagen: „So ungewöhnlich es klingen mag: Weil die JTB-Definition von ‚wissen‘ richtig ist, muss man zugeben, dass Smith weiß, dass derjenige, der den Job kriegt, 10 Münzen in der Tasche hat.“ Es ließe sich dann nicht viel mehr tun, als ihm zu entgegnen: „Du hast wirklich bizarre semantische Intuitionen.“</w:t>
      </w:r>
    </w:p>
    <w:p w14:paraId="282179B2" w14:textId="1632EA87" w:rsidR="00074445" w:rsidRPr="00CD0582" w:rsidRDefault="00175188" w:rsidP="00613B08">
      <w:pPr>
        <w:pStyle w:val="FirstParagraph"/>
        <w:jc w:val="both"/>
        <w:rPr>
          <w:lang w:val="de-DE"/>
        </w:rPr>
      </w:pPr>
      <w:r>
        <w:rPr>
          <w:lang w:val="de-DE"/>
        </w:rPr>
        <w:t>Kann man P1 bestreiten?</w:t>
      </w:r>
      <w:r w:rsidR="00E31FCB">
        <w:rPr>
          <w:lang w:val="de-DE"/>
        </w:rPr>
        <w:t xml:space="preserve"> Der ganze Fall mit Smith ist ja dazu da, sie zu etablieren. Erfüllt Smith auch nur eine der drei JTB-Bedingungen</w:t>
      </w:r>
      <w:r w:rsidR="00074445">
        <w:rPr>
          <w:lang w:val="de-DE"/>
        </w:rPr>
        <w:t xml:space="preserve"> bei genauerem Hinsehen doch nicht, dann ist das Vorhaben, P1 mit dem Fall von Smith zu etablieren, gescheitert. Die schlusstechnischen Zutaten sind gut überschaubar: Gettiers Regel, die existentielle Generalisierung und die fundamentale Umformung der Theorie der Kennzeich</w:t>
      </w:r>
      <w:r w:rsidR="004260DD">
        <w:rPr>
          <w:lang w:val="de-DE"/>
        </w:rPr>
        <w:t>n</w:t>
      </w:r>
      <w:r w:rsidR="00074445">
        <w:rPr>
          <w:lang w:val="de-DE"/>
        </w:rPr>
        <w:t xml:space="preserve">ungen. Es ist schwer zu sehen, welche dieser Regeln man ablehnen sollte. Auch Gettiers Regel ist sehr plausibel. Aber: Punkt (1) der Anwendung der Gettier-Regel verlässt sich auf das „ja“ in der rechten Spalte von Zeile 1. Und </w:t>
      </w:r>
      <w:r w:rsidR="00074445" w:rsidRPr="00074445">
        <w:rPr>
          <w:i/>
          <w:lang w:val="de-DE"/>
        </w:rPr>
        <w:t>ist</w:t>
      </w:r>
      <w:r w:rsidR="00074445">
        <w:rPr>
          <w:lang w:val="de-DE"/>
        </w:rPr>
        <w:t xml:space="preserve"> denn Smith gerechtfertigt, zu glauben, dass </w:t>
      </w:r>
      <w:r w:rsidR="004A6EC1">
        <w:rPr>
          <w:lang w:val="de-DE"/>
        </w:rPr>
        <w:t xml:space="preserve">Jones den Job kriegt, nur weil der Chef ihm das vorgeflunkert hat? Sicher hat Smith „strong evidence“. Aber jemand, der P1 bestreitet, </w:t>
      </w:r>
      <w:r w:rsidR="00613B08">
        <w:rPr>
          <w:lang w:val="de-DE"/>
        </w:rPr>
        <w:t xml:space="preserve">könnte so </w:t>
      </w:r>
      <w:r w:rsidR="004A6EC1">
        <w:rPr>
          <w:lang w:val="de-DE"/>
        </w:rPr>
        <w:t>argumentieren</w:t>
      </w:r>
      <w:r w:rsidR="00613B08">
        <w:rPr>
          <w:lang w:val="de-DE"/>
        </w:rPr>
        <w:t>: D</w:t>
      </w:r>
      <w:r w:rsidR="004A6EC1">
        <w:rPr>
          <w:lang w:val="de-DE"/>
        </w:rPr>
        <w:t xml:space="preserve">ie Geschichte über Smith zeigt, dass „strong evidence“ nicht hinreicht für die Rechtfertigung einer wahren Meinung im Sinne der JTB-Theorie. Vielmehr war diese </w:t>
      </w:r>
      <w:r w:rsidR="00613B08">
        <w:rPr>
          <w:lang w:val="de-DE"/>
        </w:rPr>
        <w:t xml:space="preserve">Rechtfertigung </w:t>
      </w:r>
      <w:r w:rsidR="004A6EC1">
        <w:rPr>
          <w:lang w:val="de-DE"/>
        </w:rPr>
        <w:t xml:space="preserve">immer so gemeint, dass sie wahrheitsgarantierend sein sollte.  </w:t>
      </w:r>
      <w:r w:rsidR="00074445">
        <w:rPr>
          <w:lang w:val="de-DE"/>
        </w:rPr>
        <w:t xml:space="preserve"> </w:t>
      </w:r>
    </w:p>
    <w:p w14:paraId="35E9F3F5" w14:textId="77777777" w:rsidR="00FA3ED0" w:rsidRPr="00CD0582" w:rsidRDefault="008765BA">
      <w:pPr>
        <w:pStyle w:val="berschrift2"/>
        <w:rPr>
          <w:lang w:val="de-DE"/>
        </w:rPr>
      </w:pPr>
      <w:bookmarkStart w:id="4" w:name="formale-detailanalyse-optional"/>
      <w:r w:rsidRPr="00CD0582">
        <w:rPr>
          <w:lang w:val="de-DE"/>
        </w:rPr>
        <w:t>Formale Detailanalyse (optional)</w:t>
      </w:r>
      <w:bookmarkEnd w:id="4"/>
    </w:p>
    <w:p w14:paraId="466C8796" w14:textId="638F5539" w:rsidR="007E7730" w:rsidRDefault="008765BA" w:rsidP="00074445">
      <w:pPr>
        <w:pStyle w:val="FirstParagraph"/>
        <w:jc w:val="both"/>
        <w:rPr>
          <w:lang w:val="de-DE"/>
        </w:rPr>
      </w:pPr>
      <w:r w:rsidRPr="00CD0582">
        <w:rPr>
          <w:lang w:val="de-DE"/>
        </w:rPr>
        <w:t>D</w:t>
      </w:r>
      <w:r w:rsidR="00074445">
        <w:rPr>
          <w:lang w:val="de-DE"/>
        </w:rPr>
        <w:t>ie</w:t>
      </w:r>
      <w:r w:rsidRPr="00CD0582">
        <w:rPr>
          <w:lang w:val="de-DE"/>
        </w:rPr>
        <w:t xml:space="preserve"> </w:t>
      </w:r>
      <w:r w:rsidR="00074445">
        <w:rPr>
          <w:lang w:val="de-DE"/>
        </w:rPr>
        <w:t>Sätze in der Tabelle lassen sich in Formeln der klassischen Prädikatenlogik erster Stufe mit Identität und Kennzeich</w:t>
      </w:r>
      <w:r w:rsidR="00214710">
        <w:rPr>
          <w:lang w:val="de-DE"/>
        </w:rPr>
        <w:t>n</w:t>
      </w:r>
      <w:r w:rsidR="00074445">
        <w:rPr>
          <w:lang w:val="de-DE"/>
        </w:rPr>
        <w:t>ungsoperator (iota-Operator) übersetzen. Die oben für die Sätze erläuterten Folgerungsbeziehungen gelten allesamt auch für die Formeln.</w:t>
      </w:r>
    </w:p>
    <w:p w14:paraId="50A7E603" w14:textId="77777777" w:rsidR="007E7730" w:rsidRPr="007E7730" w:rsidRDefault="007E7730" w:rsidP="007E7730">
      <w:pPr>
        <w:autoSpaceDE w:val="0"/>
        <w:autoSpaceDN w:val="0"/>
        <w:adjustRightInd w:val="0"/>
        <w:spacing w:after="0" w:line="259" w:lineRule="auto"/>
        <w:jc w:val="both"/>
        <w:rPr>
          <w:rFonts w:ascii="Cambria" w:eastAsia="Calibri" w:hAnsi="Cambria" w:cs="Calibri"/>
          <w:lang w:val="de-DE"/>
        </w:rPr>
      </w:pPr>
      <w:r w:rsidRPr="007E7730">
        <w:rPr>
          <w:rFonts w:ascii="Cambria" w:eastAsia="Calibri" w:hAnsi="Cambria" w:cs="Calibri"/>
          <w:lang w:val="de-DE"/>
        </w:rPr>
        <w:t xml:space="preserve">Abkürzungsverzeichnis </w:t>
      </w:r>
    </w:p>
    <w:p w14:paraId="542FD4EF" w14:textId="77777777" w:rsidR="007E7730" w:rsidRPr="007E7730" w:rsidRDefault="007E7730" w:rsidP="007E7730">
      <w:pPr>
        <w:autoSpaceDE w:val="0"/>
        <w:autoSpaceDN w:val="0"/>
        <w:adjustRightInd w:val="0"/>
        <w:spacing w:after="0" w:line="259" w:lineRule="auto"/>
        <w:jc w:val="both"/>
        <w:rPr>
          <w:rFonts w:ascii="Cambria" w:eastAsia="Calibri" w:hAnsi="Cambria" w:cs="Calibri"/>
          <w:lang w:val="de-DE"/>
        </w:rPr>
      </w:pPr>
      <w:r w:rsidRPr="007E7730">
        <w:rPr>
          <w:rFonts w:ascii="Cambria" w:eastAsia="Calibri" w:hAnsi="Cambria" w:cs="Calibri"/>
          <w:lang w:val="de-DE"/>
        </w:rPr>
        <w:t>K x : x kriegt den Job.</w:t>
      </w:r>
    </w:p>
    <w:p w14:paraId="4A08B87B" w14:textId="77777777" w:rsidR="007E7730" w:rsidRPr="007E7730" w:rsidRDefault="007E7730" w:rsidP="007E7730">
      <w:pPr>
        <w:autoSpaceDE w:val="0"/>
        <w:autoSpaceDN w:val="0"/>
        <w:adjustRightInd w:val="0"/>
        <w:spacing w:after="0" w:line="259" w:lineRule="auto"/>
        <w:jc w:val="both"/>
        <w:rPr>
          <w:rFonts w:ascii="Cambria" w:eastAsia="Calibri" w:hAnsi="Cambria" w:cs="Calibri"/>
          <w:lang w:val="de-DE"/>
        </w:rPr>
      </w:pPr>
      <w:r w:rsidRPr="007E7730">
        <w:rPr>
          <w:rFonts w:ascii="Cambria" w:eastAsia="Calibri" w:hAnsi="Cambria" w:cs="Calibri"/>
          <w:lang w:val="de-DE"/>
        </w:rPr>
        <w:t>M x : x hat zehn Münzen in der Tasche.</w:t>
      </w:r>
    </w:p>
    <w:p w14:paraId="4B9A107D" w14:textId="77777777" w:rsidR="007E7730" w:rsidRPr="007E7730" w:rsidRDefault="007E7730" w:rsidP="007E7730">
      <w:pPr>
        <w:autoSpaceDE w:val="0"/>
        <w:autoSpaceDN w:val="0"/>
        <w:adjustRightInd w:val="0"/>
        <w:spacing w:after="0" w:line="259" w:lineRule="auto"/>
        <w:jc w:val="both"/>
        <w:rPr>
          <w:rFonts w:ascii="Cambria" w:eastAsia="Calibri" w:hAnsi="Cambria" w:cs="Calibri"/>
        </w:rPr>
      </w:pPr>
      <w:r w:rsidRPr="007E7730">
        <w:rPr>
          <w:rFonts w:ascii="Cambria" w:eastAsia="Calibri" w:hAnsi="Cambria" w:cs="Calibri"/>
        </w:rPr>
        <w:t>s : Smith</w:t>
      </w:r>
    </w:p>
    <w:p w14:paraId="70776206" w14:textId="20D996C3" w:rsidR="007E7730" w:rsidRDefault="007E7730" w:rsidP="007E7730">
      <w:pPr>
        <w:autoSpaceDE w:val="0"/>
        <w:autoSpaceDN w:val="0"/>
        <w:adjustRightInd w:val="0"/>
        <w:spacing w:after="0" w:line="259" w:lineRule="auto"/>
        <w:jc w:val="both"/>
        <w:rPr>
          <w:rFonts w:ascii="Cambria" w:eastAsia="Calibri" w:hAnsi="Cambria" w:cs="Calibri"/>
        </w:rPr>
      </w:pPr>
      <w:r w:rsidRPr="007E7730">
        <w:rPr>
          <w:rFonts w:ascii="Cambria" w:eastAsia="Calibri" w:hAnsi="Cambria" w:cs="Calibri"/>
        </w:rPr>
        <w:t>j : Jones</w:t>
      </w:r>
    </w:p>
    <w:p w14:paraId="567972A2" w14:textId="77777777" w:rsidR="00D409F5" w:rsidRDefault="00D409F5" w:rsidP="004260DD">
      <w:pPr>
        <w:autoSpaceDE w:val="0"/>
        <w:autoSpaceDN w:val="0"/>
        <w:adjustRightInd w:val="0"/>
        <w:spacing w:after="0" w:line="180" w:lineRule="exact"/>
        <w:jc w:val="both"/>
        <w:rPr>
          <w:rFonts w:ascii="Cambria" w:eastAsia="Calibri" w:hAnsi="Cambria" w:cs="Calibri"/>
        </w:rPr>
      </w:pPr>
    </w:p>
    <w:tbl>
      <w:tblPr>
        <w:tblStyle w:val="Tabellenraster1"/>
        <w:tblW w:w="0" w:type="auto"/>
        <w:tblLook w:val="04A0" w:firstRow="1" w:lastRow="0" w:firstColumn="1" w:lastColumn="0" w:noHBand="0" w:noVBand="1"/>
      </w:tblPr>
      <w:tblGrid>
        <w:gridCol w:w="4531"/>
        <w:gridCol w:w="1276"/>
        <w:gridCol w:w="1559"/>
        <w:gridCol w:w="1696"/>
      </w:tblGrid>
      <w:tr w:rsidR="00D409F5" w:rsidRPr="0013448D" w14:paraId="6970A121" w14:textId="77777777" w:rsidTr="004F4D72">
        <w:tc>
          <w:tcPr>
            <w:tcW w:w="4531" w:type="dxa"/>
          </w:tcPr>
          <w:p w14:paraId="6082942E" w14:textId="3F9DB946" w:rsidR="00D409F5" w:rsidRPr="00A755C2" w:rsidRDefault="00D409F5" w:rsidP="004F4D7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Formel</w:t>
            </w:r>
          </w:p>
        </w:tc>
        <w:tc>
          <w:tcPr>
            <w:tcW w:w="1276" w:type="dxa"/>
          </w:tcPr>
          <w:p w14:paraId="0C7BA060" w14:textId="77777777" w:rsidR="00D409F5" w:rsidRPr="00A755C2" w:rsidRDefault="00D409F5" w:rsidP="004F4D7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ist wahr</w:t>
            </w:r>
          </w:p>
        </w:tc>
        <w:tc>
          <w:tcPr>
            <w:tcW w:w="1559" w:type="dxa"/>
          </w:tcPr>
          <w:p w14:paraId="7DC4396B" w14:textId="77777777" w:rsidR="00D409F5" w:rsidRPr="00A755C2" w:rsidRDefault="00D409F5" w:rsidP="004F4D7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wird von Smith geglaubt</w:t>
            </w:r>
          </w:p>
        </w:tc>
        <w:tc>
          <w:tcPr>
            <w:tcW w:w="1696" w:type="dxa"/>
          </w:tcPr>
          <w:p w14:paraId="6BDBC710" w14:textId="77777777" w:rsidR="00D409F5" w:rsidRPr="00A755C2" w:rsidRDefault="00D409F5" w:rsidP="004F4D72">
            <w:pPr>
              <w:autoSpaceDE w:val="0"/>
              <w:autoSpaceDN w:val="0"/>
              <w:adjustRightInd w:val="0"/>
              <w:jc w:val="both"/>
              <w:rPr>
                <w:rFonts w:ascii="Cambria" w:eastAsia="Calibri" w:hAnsi="Cambria" w:cs="Calibri"/>
                <w:sz w:val="24"/>
                <w:szCs w:val="24"/>
              </w:rPr>
            </w:pPr>
            <w:r w:rsidRPr="00A755C2">
              <w:rPr>
                <w:rFonts w:ascii="Cambria" w:eastAsia="Calibri" w:hAnsi="Cambria" w:cs="Calibri"/>
                <w:sz w:val="24"/>
                <w:szCs w:val="24"/>
              </w:rPr>
              <w:t>... ist, was Smith gerechtfertigt ist zu glauben</w:t>
            </w:r>
          </w:p>
        </w:tc>
      </w:tr>
      <w:tr w:rsidR="00D409F5" w:rsidRPr="00A755C2" w14:paraId="235834EA" w14:textId="77777777" w:rsidTr="004F4D72">
        <w:tc>
          <w:tcPr>
            <w:tcW w:w="4531" w:type="dxa"/>
          </w:tcPr>
          <w:p w14:paraId="20E2539F" w14:textId="17200EF2"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[1] </w:t>
            </w:r>
            <w:r>
              <w:rPr>
                <w:rFonts w:eastAsia="Calibri" w:cs="Calibri"/>
                <w:sz w:val="24"/>
                <w:szCs w:val="24"/>
              </w:rPr>
              <w:t xml:space="preserve">Kj </w:t>
            </w:r>
            <w:r>
              <w:rPr>
                <w:rFonts w:eastAsia="Calibri" w:cs="Calibri"/>
                <w:sz w:val="24"/>
                <w:szCs w:val="24"/>
              </w:rPr>
              <w:sym w:font="DIN 5474" w:char="F077"/>
            </w:r>
            <w:r>
              <w:rPr>
                <w:rFonts w:eastAsia="Calibri" w:cs="Calibri"/>
                <w:sz w:val="24"/>
                <w:szCs w:val="24"/>
              </w:rPr>
              <w:t xml:space="preserve"> </w:t>
            </w:r>
            <w:r>
              <w:rPr>
                <w:rFonts w:eastAsia="Calibri" w:cs="Calibri"/>
                <w:sz w:val="24"/>
                <w:szCs w:val="24"/>
              </w:rPr>
              <w:sym w:font="DIN 5474" w:char="F069"/>
            </w:r>
            <w:r>
              <w:rPr>
                <w:rFonts w:eastAsia="Calibri" w:cs="Calibri"/>
                <w:sz w:val="24"/>
                <w:szCs w:val="24"/>
              </w:rPr>
              <w:t xml:space="preserve">x (Kx </w:t>
            </w:r>
            <w:r>
              <w:rPr>
                <w:rFonts w:eastAsia="Calibri" w:cs="Calibri"/>
                <w:sz w:val="24"/>
                <w:szCs w:val="24"/>
              </w:rPr>
              <w:sym w:font="DIN 5474" w:char="F073"/>
            </w:r>
            <w:r>
              <w:rPr>
                <w:rFonts w:eastAsia="Calibri" w:cs="Calibri"/>
                <w:sz w:val="24"/>
                <w:szCs w:val="24"/>
              </w:rPr>
              <w:t xml:space="preserve"> x=j)</w:t>
            </w:r>
          </w:p>
        </w:tc>
        <w:tc>
          <w:tcPr>
            <w:tcW w:w="1276" w:type="dxa"/>
          </w:tcPr>
          <w:p w14:paraId="25AEAC11"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559" w:type="dxa"/>
          </w:tcPr>
          <w:p w14:paraId="390BCF95"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152764F1"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r>
      <w:tr w:rsidR="00D409F5" w:rsidRPr="00A755C2" w14:paraId="3798C8BA" w14:textId="77777777" w:rsidTr="004F4D72">
        <w:tc>
          <w:tcPr>
            <w:tcW w:w="4531" w:type="dxa"/>
          </w:tcPr>
          <w:p w14:paraId="09F2B3CD" w14:textId="3654B447"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[2] </w:t>
            </w:r>
            <w:r>
              <w:rPr>
                <w:rFonts w:eastAsia="Calibri" w:cs="Calibri"/>
                <w:sz w:val="24"/>
                <w:szCs w:val="24"/>
              </w:rPr>
              <w:t>~Kj</w:t>
            </w:r>
          </w:p>
        </w:tc>
        <w:tc>
          <w:tcPr>
            <w:tcW w:w="1276" w:type="dxa"/>
          </w:tcPr>
          <w:p w14:paraId="3EE87B31"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77CAD7B8"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3BC2B4A4"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r>
      <w:tr w:rsidR="00D409F5" w:rsidRPr="00A755C2" w14:paraId="314A81CF" w14:textId="77777777" w:rsidTr="004F4D72">
        <w:tc>
          <w:tcPr>
            <w:tcW w:w="4531" w:type="dxa"/>
          </w:tcPr>
          <w:p w14:paraId="7B59568B" w14:textId="13860762"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[3] </w:t>
            </w:r>
            <w:r>
              <w:rPr>
                <w:rFonts w:eastAsia="Calibri" w:cs="Calibri"/>
                <w:sz w:val="24"/>
                <w:szCs w:val="24"/>
              </w:rPr>
              <w:t>Mj</w:t>
            </w:r>
          </w:p>
        </w:tc>
        <w:tc>
          <w:tcPr>
            <w:tcW w:w="1276" w:type="dxa"/>
          </w:tcPr>
          <w:p w14:paraId="2D59FD92"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7061933E"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6A5A9D1E"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r>
      <w:tr w:rsidR="00D409F5" w:rsidRPr="00A755C2" w14:paraId="156265D0" w14:textId="77777777" w:rsidTr="004F4D72">
        <w:tc>
          <w:tcPr>
            <w:tcW w:w="4531" w:type="dxa"/>
          </w:tcPr>
          <w:p w14:paraId="6E1FDC78" w14:textId="490433CF"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[4] </w:t>
            </w:r>
            <w:r>
              <w:rPr>
                <w:rFonts w:eastAsia="Calibri" w:cs="Calibri"/>
                <w:sz w:val="24"/>
                <w:szCs w:val="24"/>
              </w:rPr>
              <w:t xml:space="preserve">Kj </w:t>
            </w:r>
            <w:r>
              <w:rPr>
                <w:rFonts w:eastAsia="Calibri" w:cs="Calibri"/>
                <w:sz w:val="24"/>
                <w:szCs w:val="24"/>
              </w:rPr>
              <w:sym w:font="DIN 5474" w:char="F077"/>
            </w:r>
            <w:r>
              <w:rPr>
                <w:rFonts w:eastAsia="Calibri" w:cs="Calibri"/>
                <w:sz w:val="24"/>
                <w:szCs w:val="24"/>
              </w:rPr>
              <w:t xml:space="preserve"> </w:t>
            </w:r>
            <w:r>
              <w:rPr>
                <w:rFonts w:eastAsia="Calibri" w:cs="Calibri"/>
                <w:sz w:val="24"/>
                <w:szCs w:val="24"/>
              </w:rPr>
              <w:sym w:font="DIN 5474" w:char="F069"/>
            </w:r>
            <w:r>
              <w:rPr>
                <w:rFonts w:eastAsia="Calibri" w:cs="Calibri"/>
                <w:sz w:val="24"/>
                <w:szCs w:val="24"/>
              </w:rPr>
              <w:t xml:space="preserve">x (Kx </w:t>
            </w:r>
            <w:r>
              <w:rPr>
                <w:rFonts w:eastAsia="Calibri" w:cs="Calibri"/>
                <w:sz w:val="24"/>
                <w:szCs w:val="24"/>
              </w:rPr>
              <w:sym w:font="DIN 5474" w:char="F073"/>
            </w:r>
            <w:r>
              <w:rPr>
                <w:rFonts w:eastAsia="Calibri" w:cs="Calibri"/>
                <w:sz w:val="24"/>
                <w:szCs w:val="24"/>
              </w:rPr>
              <w:t xml:space="preserve"> x=j) </w:t>
            </w:r>
            <w:r>
              <w:rPr>
                <w:rFonts w:eastAsia="Calibri" w:cs="Calibri"/>
                <w:sz w:val="24"/>
                <w:szCs w:val="24"/>
              </w:rPr>
              <w:sym w:font="DIN 5474" w:char="F077"/>
            </w:r>
            <w:r>
              <w:rPr>
                <w:rFonts w:eastAsia="Calibri" w:cs="Calibri"/>
                <w:sz w:val="24"/>
                <w:szCs w:val="24"/>
              </w:rPr>
              <w:t xml:space="preserve"> Mj</w:t>
            </w:r>
          </w:p>
        </w:tc>
        <w:tc>
          <w:tcPr>
            <w:tcW w:w="1276" w:type="dxa"/>
          </w:tcPr>
          <w:p w14:paraId="5759E313"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559" w:type="dxa"/>
          </w:tcPr>
          <w:p w14:paraId="2E6936EE"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156D18F0"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r>
      <w:tr w:rsidR="00D409F5" w:rsidRPr="00A755C2" w14:paraId="727F887F" w14:textId="77777777" w:rsidTr="004F4D72">
        <w:tc>
          <w:tcPr>
            <w:tcW w:w="4531" w:type="dxa"/>
          </w:tcPr>
          <w:p w14:paraId="7AE89FFF" w14:textId="5C7334F1" w:rsidR="00D409F5" w:rsidRPr="00A755C2" w:rsidRDefault="00D409F5" w:rsidP="00D409F5">
            <w:pPr>
              <w:autoSpaceDE w:val="0"/>
              <w:autoSpaceDN w:val="0"/>
              <w:adjustRightInd w:val="0"/>
              <w:rPr>
                <w:rFonts w:eastAsia="Calibri" w:cs="Calibri"/>
                <w:sz w:val="24"/>
                <w:szCs w:val="24"/>
              </w:rPr>
            </w:pPr>
            <w:r>
              <w:rPr>
                <w:rFonts w:eastAsia="Calibri" w:cs="Calibri"/>
                <w:sz w:val="24"/>
                <w:szCs w:val="24"/>
              </w:rPr>
              <w:t xml:space="preserve">[5] Ks </w:t>
            </w:r>
            <w:r>
              <w:rPr>
                <w:rFonts w:eastAsia="Calibri" w:cs="Calibri"/>
                <w:sz w:val="24"/>
                <w:szCs w:val="24"/>
              </w:rPr>
              <w:sym w:font="DIN 5474" w:char="F077"/>
            </w:r>
            <w:r>
              <w:rPr>
                <w:rFonts w:eastAsia="Calibri" w:cs="Calibri"/>
                <w:sz w:val="24"/>
                <w:szCs w:val="24"/>
              </w:rPr>
              <w:t xml:space="preserve"> </w:t>
            </w:r>
            <w:r>
              <w:rPr>
                <w:rFonts w:eastAsia="Calibri" w:cs="Calibri"/>
                <w:sz w:val="24"/>
                <w:szCs w:val="24"/>
              </w:rPr>
              <w:sym w:font="DIN 5474" w:char="F069"/>
            </w:r>
            <w:r>
              <w:rPr>
                <w:rFonts w:eastAsia="Calibri" w:cs="Calibri"/>
                <w:sz w:val="24"/>
                <w:szCs w:val="24"/>
              </w:rPr>
              <w:t xml:space="preserve">x (Kx </w:t>
            </w:r>
            <w:r>
              <w:rPr>
                <w:rFonts w:eastAsia="Calibri" w:cs="Calibri"/>
                <w:sz w:val="24"/>
                <w:szCs w:val="24"/>
              </w:rPr>
              <w:sym w:font="DIN 5474" w:char="F073"/>
            </w:r>
            <w:r>
              <w:rPr>
                <w:rFonts w:eastAsia="Calibri" w:cs="Calibri"/>
                <w:sz w:val="24"/>
                <w:szCs w:val="24"/>
              </w:rPr>
              <w:t xml:space="preserve"> x=s)</w:t>
            </w:r>
          </w:p>
        </w:tc>
        <w:tc>
          <w:tcPr>
            <w:tcW w:w="1276" w:type="dxa"/>
          </w:tcPr>
          <w:p w14:paraId="494EE5C2"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72D12182"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5BFF76DB"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r>
      <w:tr w:rsidR="00D409F5" w:rsidRPr="00A755C2" w14:paraId="71768DF6" w14:textId="77777777" w:rsidTr="004F4D72">
        <w:tc>
          <w:tcPr>
            <w:tcW w:w="4531" w:type="dxa"/>
          </w:tcPr>
          <w:p w14:paraId="21A46148" w14:textId="211B0B46"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[6] </w:t>
            </w:r>
            <w:r>
              <w:rPr>
                <w:rFonts w:eastAsia="Calibri" w:cs="Calibri"/>
                <w:sz w:val="24"/>
                <w:szCs w:val="24"/>
              </w:rPr>
              <w:t>Ms</w:t>
            </w:r>
          </w:p>
        </w:tc>
        <w:tc>
          <w:tcPr>
            <w:tcW w:w="1276" w:type="dxa"/>
          </w:tcPr>
          <w:p w14:paraId="3A34C56C"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158697E7"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677E4053"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r>
      <w:tr w:rsidR="00D409F5" w:rsidRPr="00A755C2" w14:paraId="2EB9918D" w14:textId="77777777" w:rsidTr="004F4D72">
        <w:tc>
          <w:tcPr>
            <w:tcW w:w="4531" w:type="dxa"/>
          </w:tcPr>
          <w:p w14:paraId="2EDD5796" w14:textId="41745A45"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[7]</w:t>
            </w:r>
            <w:r w:rsidRPr="003A364A">
              <w:rPr>
                <w:rFonts w:eastAsia="Calibri" w:cs="Calibri"/>
                <w:sz w:val="24"/>
                <w:szCs w:val="24"/>
              </w:rPr>
              <w:t xml:space="preserve"> </w:t>
            </w:r>
            <w:r>
              <w:rPr>
                <w:rFonts w:eastAsia="Calibri" w:cs="Calibri"/>
                <w:sz w:val="24"/>
                <w:szCs w:val="24"/>
              </w:rPr>
              <w:t xml:space="preserve">Ks </w:t>
            </w:r>
            <w:r>
              <w:rPr>
                <w:rFonts w:eastAsia="Calibri" w:cs="Calibri"/>
                <w:sz w:val="24"/>
                <w:szCs w:val="24"/>
              </w:rPr>
              <w:sym w:font="DIN 5474" w:char="F077"/>
            </w:r>
            <w:r>
              <w:rPr>
                <w:rFonts w:eastAsia="Calibri" w:cs="Calibri"/>
                <w:sz w:val="24"/>
                <w:szCs w:val="24"/>
              </w:rPr>
              <w:t xml:space="preserve"> </w:t>
            </w:r>
            <w:r>
              <w:rPr>
                <w:rFonts w:eastAsia="Calibri" w:cs="Calibri"/>
                <w:sz w:val="24"/>
                <w:szCs w:val="24"/>
              </w:rPr>
              <w:sym w:font="DIN 5474" w:char="F069"/>
            </w:r>
            <w:r>
              <w:rPr>
                <w:rFonts w:eastAsia="Calibri" w:cs="Calibri"/>
                <w:sz w:val="24"/>
                <w:szCs w:val="24"/>
              </w:rPr>
              <w:t xml:space="preserve">x (Kx </w:t>
            </w:r>
            <w:r>
              <w:rPr>
                <w:rFonts w:eastAsia="Calibri" w:cs="Calibri"/>
                <w:sz w:val="24"/>
                <w:szCs w:val="24"/>
              </w:rPr>
              <w:sym w:font="DIN 5474" w:char="F073"/>
            </w:r>
            <w:r>
              <w:rPr>
                <w:rFonts w:eastAsia="Calibri" w:cs="Calibri"/>
                <w:sz w:val="24"/>
                <w:szCs w:val="24"/>
              </w:rPr>
              <w:t xml:space="preserve"> x=s) </w:t>
            </w:r>
            <w:r>
              <w:rPr>
                <w:rFonts w:eastAsia="Calibri" w:cs="Calibri"/>
                <w:sz w:val="24"/>
                <w:szCs w:val="24"/>
              </w:rPr>
              <w:sym w:font="DIN 5474" w:char="F077"/>
            </w:r>
            <w:r>
              <w:rPr>
                <w:rFonts w:eastAsia="Calibri" w:cs="Calibri"/>
                <w:sz w:val="24"/>
                <w:szCs w:val="24"/>
              </w:rPr>
              <w:t xml:space="preserve"> Ms</w:t>
            </w:r>
          </w:p>
        </w:tc>
        <w:tc>
          <w:tcPr>
            <w:tcW w:w="1276" w:type="dxa"/>
          </w:tcPr>
          <w:p w14:paraId="7C75D840"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4FF60962"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c>
          <w:tcPr>
            <w:tcW w:w="1696" w:type="dxa"/>
          </w:tcPr>
          <w:p w14:paraId="2CD2D170"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nein</w:t>
            </w:r>
          </w:p>
        </w:tc>
      </w:tr>
      <w:tr w:rsidR="00D409F5" w:rsidRPr="00A755C2" w14:paraId="119FFFE7" w14:textId="77777777" w:rsidTr="004F4D72">
        <w:tc>
          <w:tcPr>
            <w:tcW w:w="4531" w:type="dxa"/>
          </w:tcPr>
          <w:p w14:paraId="47F75C80" w14:textId="3AA8F156" w:rsidR="00D409F5" w:rsidRPr="00D409F5" w:rsidRDefault="00D409F5" w:rsidP="00331D8E">
            <w:pPr>
              <w:autoSpaceDE w:val="0"/>
              <w:autoSpaceDN w:val="0"/>
              <w:adjustRightInd w:val="0"/>
              <w:rPr>
                <w:rFonts w:eastAsia="Calibri" w:cs="Calibri"/>
                <w:lang w:val="en-US"/>
              </w:rPr>
            </w:pPr>
            <w:r w:rsidRPr="00D409F5">
              <w:rPr>
                <w:rFonts w:eastAsia="Calibri" w:cs="Calibri"/>
                <w:lang w:val="en-US"/>
              </w:rPr>
              <w:t>[</w:t>
            </w:r>
            <w:r w:rsidR="00331D8E">
              <w:rPr>
                <w:rFonts w:eastAsia="Calibri" w:cs="Calibri"/>
                <w:lang w:val="en-US"/>
              </w:rPr>
              <w:t>8a</w:t>
            </w:r>
            <w:r w:rsidRPr="00D409F5">
              <w:rPr>
                <w:rFonts w:eastAsia="Calibri" w:cs="Calibri"/>
                <w:lang w:val="en-US"/>
              </w:rPr>
              <w:t xml:space="preserve">] </w:t>
            </w:r>
            <w:r>
              <w:rPr>
                <w:rFonts w:eastAsia="Calibri" w:cs="Calibri"/>
              </w:rPr>
              <w:sym w:font="DIN 5474" w:char="F06A"/>
            </w:r>
            <w:r w:rsidRPr="00D409F5">
              <w:rPr>
                <w:rFonts w:eastAsia="Calibri" w:cs="Calibri"/>
                <w:lang w:val="en-US"/>
              </w:rPr>
              <w:t xml:space="preserve">y </w:t>
            </w:r>
            <w:r>
              <w:rPr>
                <w:rFonts w:eastAsia="Calibri" w:cs="Calibri"/>
                <w:lang w:val="en-US"/>
              </w:rPr>
              <w:t>(</w:t>
            </w:r>
            <w:r w:rsidRPr="00D409F5">
              <w:rPr>
                <w:rFonts w:eastAsia="Calibri" w:cs="Calibri"/>
                <w:sz w:val="24"/>
                <w:szCs w:val="24"/>
                <w:lang w:val="en-US"/>
              </w:rPr>
              <w:t>K</w:t>
            </w:r>
            <w:r>
              <w:rPr>
                <w:rFonts w:eastAsia="Calibri" w:cs="Calibri"/>
                <w:sz w:val="24"/>
                <w:szCs w:val="24"/>
                <w:lang w:val="en-US"/>
              </w:rPr>
              <w:t>y</w:t>
            </w:r>
            <w:r w:rsidRPr="00D409F5">
              <w:rPr>
                <w:rFonts w:eastAsia="Calibri" w:cs="Calibri"/>
                <w:sz w:val="24"/>
                <w:szCs w:val="24"/>
                <w:lang w:val="en-US"/>
              </w:rPr>
              <w:t xml:space="preserve"> </w:t>
            </w:r>
            <w:r>
              <w:rPr>
                <w:rFonts w:eastAsia="Calibri" w:cs="Calibri"/>
                <w:sz w:val="24"/>
                <w:szCs w:val="24"/>
              </w:rPr>
              <w:sym w:font="DIN 5474" w:char="F077"/>
            </w:r>
            <w:r w:rsidRPr="00D409F5">
              <w:rPr>
                <w:rFonts w:eastAsia="Calibri" w:cs="Calibri"/>
                <w:sz w:val="24"/>
                <w:szCs w:val="24"/>
                <w:lang w:val="en-US"/>
              </w:rPr>
              <w:t xml:space="preserve"> </w:t>
            </w:r>
            <w:r>
              <w:rPr>
                <w:rFonts w:eastAsia="Calibri" w:cs="Calibri"/>
                <w:sz w:val="24"/>
                <w:szCs w:val="24"/>
              </w:rPr>
              <w:sym w:font="DIN 5474" w:char="F069"/>
            </w:r>
            <w:r w:rsidRPr="00D409F5">
              <w:rPr>
                <w:rFonts w:eastAsia="Calibri" w:cs="Calibri"/>
                <w:sz w:val="24"/>
                <w:szCs w:val="24"/>
                <w:lang w:val="en-US"/>
              </w:rPr>
              <w:t xml:space="preserve">x (Kx </w:t>
            </w:r>
            <w:r>
              <w:rPr>
                <w:rFonts w:eastAsia="Calibri" w:cs="Calibri"/>
                <w:sz w:val="24"/>
                <w:szCs w:val="24"/>
              </w:rPr>
              <w:sym w:font="DIN 5474" w:char="F073"/>
            </w:r>
            <w:r w:rsidRPr="00D409F5">
              <w:rPr>
                <w:rFonts w:eastAsia="Calibri" w:cs="Calibri"/>
                <w:sz w:val="24"/>
                <w:szCs w:val="24"/>
                <w:lang w:val="en-US"/>
              </w:rPr>
              <w:t xml:space="preserve"> x=</w:t>
            </w:r>
            <w:r>
              <w:rPr>
                <w:rFonts w:eastAsia="Calibri" w:cs="Calibri"/>
                <w:sz w:val="24"/>
                <w:szCs w:val="24"/>
                <w:lang w:val="en-US"/>
              </w:rPr>
              <w:t>y</w:t>
            </w:r>
            <w:r w:rsidRPr="00D409F5">
              <w:rPr>
                <w:rFonts w:eastAsia="Calibri" w:cs="Calibri"/>
                <w:sz w:val="24"/>
                <w:szCs w:val="24"/>
                <w:lang w:val="en-US"/>
              </w:rPr>
              <w:t xml:space="preserve">) </w:t>
            </w:r>
            <w:r>
              <w:rPr>
                <w:rFonts w:eastAsia="Calibri" w:cs="Calibri"/>
                <w:sz w:val="24"/>
                <w:szCs w:val="24"/>
              </w:rPr>
              <w:sym w:font="DIN 5474" w:char="F077"/>
            </w:r>
            <w:r w:rsidRPr="00D409F5">
              <w:rPr>
                <w:rFonts w:eastAsia="Calibri" w:cs="Calibri"/>
                <w:sz w:val="24"/>
                <w:szCs w:val="24"/>
                <w:lang w:val="en-US"/>
              </w:rPr>
              <w:t xml:space="preserve"> M</w:t>
            </w:r>
            <w:r>
              <w:rPr>
                <w:rFonts w:eastAsia="Calibri" w:cs="Calibri"/>
                <w:sz w:val="24"/>
                <w:szCs w:val="24"/>
                <w:lang w:val="en-US"/>
              </w:rPr>
              <w:t>y)</w:t>
            </w:r>
          </w:p>
        </w:tc>
        <w:tc>
          <w:tcPr>
            <w:tcW w:w="1276" w:type="dxa"/>
          </w:tcPr>
          <w:p w14:paraId="77A48293" w14:textId="4ED32068" w:rsidR="00D409F5" w:rsidRPr="00D409F5" w:rsidRDefault="00D409F5" w:rsidP="004F4D72">
            <w:pPr>
              <w:autoSpaceDE w:val="0"/>
              <w:autoSpaceDN w:val="0"/>
              <w:adjustRightInd w:val="0"/>
              <w:rPr>
                <w:rFonts w:eastAsia="Calibri" w:cs="Calibri"/>
                <w:lang w:val="en-US"/>
              </w:rPr>
            </w:pPr>
            <w:r>
              <w:rPr>
                <w:rFonts w:eastAsia="Calibri" w:cs="Calibri"/>
                <w:lang w:val="en-US"/>
              </w:rPr>
              <w:t>ja</w:t>
            </w:r>
          </w:p>
        </w:tc>
        <w:tc>
          <w:tcPr>
            <w:tcW w:w="1559" w:type="dxa"/>
          </w:tcPr>
          <w:p w14:paraId="7D3226B4" w14:textId="5208F965" w:rsidR="00D409F5" w:rsidRPr="00D409F5" w:rsidRDefault="00D409F5" w:rsidP="004F4D72">
            <w:pPr>
              <w:autoSpaceDE w:val="0"/>
              <w:autoSpaceDN w:val="0"/>
              <w:adjustRightInd w:val="0"/>
              <w:rPr>
                <w:rFonts w:eastAsia="Calibri" w:cs="Calibri"/>
                <w:lang w:val="en-US"/>
              </w:rPr>
            </w:pPr>
            <w:r>
              <w:rPr>
                <w:rFonts w:eastAsia="Calibri" w:cs="Calibri"/>
                <w:lang w:val="en-US"/>
              </w:rPr>
              <w:t>ja</w:t>
            </w:r>
          </w:p>
        </w:tc>
        <w:tc>
          <w:tcPr>
            <w:tcW w:w="1696" w:type="dxa"/>
          </w:tcPr>
          <w:p w14:paraId="0803B76A" w14:textId="6CC4F25E" w:rsidR="00D409F5" w:rsidRPr="00D409F5" w:rsidRDefault="00D409F5" w:rsidP="004F4D72">
            <w:pPr>
              <w:autoSpaceDE w:val="0"/>
              <w:autoSpaceDN w:val="0"/>
              <w:adjustRightInd w:val="0"/>
              <w:rPr>
                <w:rFonts w:eastAsia="Calibri" w:cs="Calibri"/>
                <w:lang w:val="en-US"/>
              </w:rPr>
            </w:pPr>
            <w:r>
              <w:rPr>
                <w:rFonts w:eastAsia="Calibri" w:cs="Calibri"/>
                <w:lang w:val="en-US"/>
              </w:rPr>
              <w:t>ja</w:t>
            </w:r>
          </w:p>
        </w:tc>
      </w:tr>
      <w:tr w:rsidR="00D409F5" w:rsidRPr="00A755C2" w14:paraId="20E300AD" w14:textId="77777777" w:rsidTr="004F4D72">
        <w:tc>
          <w:tcPr>
            <w:tcW w:w="4531" w:type="dxa"/>
          </w:tcPr>
          <w:p w14:paraId="5EA313EB" w14:textId="10F27AA5" w:rsidR="00D409F5" w:rsidRPr="00A755C2" w:rsidRDefault="00D409F5" w:rsidP="00D409F5">
            <w:pPr>
              <w:autoSpaceDE w:val="0"/>
              <w:autoSpaceDN w:val="0"/>
              <w:adjustRightInd w:val="0"/>
              <w:rPr>
                <w:rFonts w:eastAsia="Calibri" w:cs="Calibri"/>
                <w:sz w:val="24"/>
                <w:szCs w:val="24"/>
              </w:rPr>
            </w:pPr>
            <w:r w:rsidRPr="00A755C2">
              <w:rPr>
                <w:rFonts w:eastAsia="Calibri" w:cs="Calibri"/>
                <w:sz w:val="24"/>
                <w:szCs w:val="24"/>
              </w:rPr>
              <w:t xml:space="preserve">[8] </w:t>
            </w:r>
            <w:r>
              <w:rPr>
                <w:rFonts w:eastAsia="Calibri" w:cs="Calibri"/>
                <w:sz w:val="24"/>
                <w:szCs w:val="24"/>
              </w:rPr>
              <w:t xml:space="preserve">M </w:t>
            </w:r>
            <w:r>
              <w:rPr>
                <w:rFonts w:eastAsia="Calibri" w:cs="Calibri"/>
                <w:sz w:val="24"/>
                <w:szCs w:val="24"/>
              </w:rPr>
              <w:sym w:font="DIN 5474" w:char="F05A"/>
            </w:r>
            <w:r>
              <w:rPr>
                <w:rFonts w:eastAsia="Calibri" w:cs="Calibri"/>
                <w:sz w:val="24"/>
                <w:szCs w:val="24"/>
              </w:rPr>
              <w:t>xKx</w:t>
            </w:r>
          </w:p>
        </w:tc>
        <w:tc>
          <w:tcPr>
            <w:tcW w:w="1276" w:type="dxa"/>
          </w:tcPr>
          <w:p w14:paraId="313FF6B6" w14:textId="60346813"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559" w:type="dxa"/>
          </w:tcPr>
          <w:p w14:paraId="7DE883DF" w14:textId="77777777"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c>
          <w:tcPr>
            <w:tcW w:w="1696" w:type="dxa"/>
          </w:tcPr>
          <w:p w14:paraId="5C180775" w14:textId="171C925A" w:rsidR="00D409F5" w:rsidRPr="00A755C2" w:rsidRDefault="00D409F5" w:rsidP="004F4D72">
            <w:pPr>
              <w:autoSpaceDE w:val="0"/>
              <w:autoSpaceDN w:val="0"/>
              <w:adjustRightInd w:val="0"/>
              <w:rPr>
                <w:rFonts w:eastAsia="Calibri" w:cs="Calibri"/>
                <w:sz w:val="24"/>
                <w:szCs w:val="24"/>
              </w:rPr>
            </w:pPr>
            <w:r>
              <w:rPr>
                <w:rFonts w:eastAsia="Calibri" w:cs="Calibri"/>
                <w:sz w:val="24"/>
                <w:szCs w:val="24"/>
              </w:rPr>
              <w:t>ja</w:t>
            </w:r>
          </w:p>
        </w:tc>
      </w:tr>
    </w:tbl>
    <w:p w14:paraId="355B6DA7" w14:textId="77777777" w:rsidR="00FA3ED0" w:rsidRDefault="008765BA">
      <w:pPr>
        <w:pStyle w:val="berschrift2"/>
      </w:pPr>
      <w:bookmarkStart w:id="5" w:name="literaturangaben"/>
      <w:r>
        <w:lastRenderedPageBreak/>
        <w:t>Literaturangaben</w:t>
      </w:r>
      <w:bookmarkEnd w:id="5"/>
    </w:p>
    <w:p w14:paraId="0F8A758A" w14:textId="4FBF94E1" w:rsidR="00FA3ED0" w:rsidRPr="0013448D" w:rsidRDefault="007E7730" w:rsidP="0013448D">
      <w:pPr>
        <w:pStyle w:val="FirstParagraph"/>
        <w:rPr>
          <w:lang w:val="de-DE"/>
        </w:rPr>
      </w:pPr>
      <w:r w:rsidRPr="0013448D">
        <w:rPr>
          <w:lang w:val="de-DE"/>
        </w:rPr>
        <w:t xml:space="preserve">Platon, </w:t>
      </w:r>
      <w:r w:rsidR="0013448D" w:rsidRPr="0013448D">
        <w:rPr>
          <w:lang w:val="de-DE"/>
        </w:rPr>
        <w:t xml:space="preserve">Theätet. </w:t>
      </w:r>
      <w:r w:rsidR="0013448D">
        <w:rPr>
          <w:lang w:val="de-DE"/>
        </w:rPr>
        <w:t xml:space="preserve">In: </w:t>
      </w:r>
      <w:r w:rsidR="0013448D" w:rsidRPr="0013448D">
        <w:rPr>
          <w:lang w:val="de-DE"/>
        </w:rPr>
        <w:t>Werke in acht Bänden</w:t>
      </w:r>
      <w:r w:rsidR="0013448D">
        <w:rPr>
          <w:lang w:val="de-DE"/>
        </w:rPr>
        <w:t>,</w:t>
      </w:r>
      <w:r w:rsidR="0013448D" w:rsidRPr="0013448D">
        <w:rPr>
          <w:lang w:val="de-DE"/>
        </w:rPr>
        <w:t xml:space="preserve"> griechisch</w:t>
      </w:r>
      <w:r w:rsidR="0013448D">
        <w:rPr>
          <w:lang w:val="de-DE"/>
        </w:rPr>
        <w:t>/deutsch. Hg. v. Gunther Eigler (Übersetzung: Friedrich Schl</w:t>
      </w:r>
      <w:bookmarkStart w:id="6" w:name="_GoBack"/>
      <w:bookmarkEnd w:id="6"/>
      <w:r w:rsidR="0013448D">
        <w:rPr>
          <w:lang w:val="de-DE"/>
        </w:rPr>
        <w:t>eiermacher, mit Korrekturen). Bd. 6. Darmstadt: WBG 1990</w:t>
      </w:r>
      <w:r w:rsidRPr="0013448D">
        <w:rPr>
          <w:lang w:val="de-DE"/>
        </w:rPr>
        <w:t>.</w:t>
      </w:r>
    </w:p>
    <w:p w14:paraId="636948F9" w14:textId="77777777" w:rsidR="00214710" w:rsidRPr="0013448D" w:rsidRDefault="00214710" w:rsidP="00214710">
      <w:pPr>
        <w:pStyle w:val="Textkrper"/>
        <w:rPr>
          <w:i/>
          <w:lang w:val="de-DE"/>
        </w:rPr>
      </w:pPr>
    </w:p>
    <w:p w14:paraId="0A17BA5C" w14:textId="75E16840" w:rsidR="00214710" w:rsidRPr="0013448D" w:rsidRDefault="00214710" w:rsidP="00214710">
      <w:pPr>
        <w:pStyle w:val="Textkrper"/>
        <w:rPr>
          <w:i/>
          <w:lang w:val="de-DE"/>
        </w:rPr>
      </w:pPr>
      <w:r w:rsidRPr="0013448D">
        <w:rPr>
          <w:i/>
          <w:lang w:val="de-DE"/>
        </w:rPr>
        <w:t>Niko Strobach</w:t>
      </w:r>
    </w:p>
    <w:sectPr w:rsidR="00214710" w:rsidRPr="0013448D">
      <w:pgSz w:w="12240" w:h="15840"/>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E72A5" w14:textId="77777777" w:rsidR="00540E6B" w:rsidRDefault="00540E6B">
      <w:pPr>
        <w:spacing w:after="0"/>
      </w:pPr>
      <w:r>
        <w:separator/>
      </w:r>
    </w:p>
  </w:endnote>
  <w:endnote w:type="continuationSeparator" w:id="0">
    <w:p w14:paraId="5E396FE8" w14:textId="77777777" w:rsidR="00540E6B" w:rsidRDefault="00540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IN 5474">
    <w:panose1 w:val="00010101010101010101"/>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4379C" w14:textId="77777777" w:rsidR="00540E6B" w:rsidRDefault="00540E6B">
      <w:r>
        <w:separator/>
      </w:r>
    </w:p>
  </w:footnote>
  <w:footnote w:type="continuationSeparator" w:id="0">
    <w:p w14:paraId="7116BDA1" w14:textId="77777777" w:rsidR="00540E6B" w:rsidRDefault="00540E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4445"/>
    <w:rsid w:val="00077382"/>
    <w:rsid w:val="00086732"/>
    <w:rsid w:val="000D1DD0"/>
    <w:rsid w:val="00111A65"/>
    <w:rsid w:val="00126984"/>
    <w:rsid w:val="0013448D"/>
    <w:rsid w:val="00175188"/>
    <w:rsid w:val="00192291"/>
    <w:rsid w:val="001F4289"/>
    <w:rsid w:val="00214710"/>
    <w:rsid w:val="002847A0"/>
    <w:rsid w:val="002965E5"/>
    <w:rsid w:val="002A7585"/>
    <w:rsid w:val="00331D8E"/>
    <w:rsid w:val="0034209D"/>
    <w:rsid w:val="003947FA"/>
    <w:rsid w:val="003A364A"/>
    <w:rsid w:val="003B1944"/>
    <w:rsid w:val="003C5B93"/>
    <w:rsid w:val="0040349A"/>
    <w:rsid w:val="004260DD"/>
    <w:rsid w:val="004651E0"/>
    <w:rsid w:val="004A2535"/>
    <w:rsid w:val="004A6EC1"/>
    <w:rsid w:val="004C4853"/>
    <w:rsid w:val="004E29B3"/>
    <w:rsid w:val="0050240A"/>
    <w:rsid w:val="00540E6B"/>
    <w:rsid w:val="00590D07"/>
    <w:rsid w:val="00613B08"/>
    <w:rsid w:val="006637C0"/>
    <w:rsid w:val="0067468B"/>
    <w:rsid w:val="006A0586"/>
    <w:rsid w:val="006B3BD4"/>
    <w:rsid w:val="00737298"/>
    <w:rsid w:val="00770864"/>
    <w:rsid w:val="00784D58"/>
    <w:rsid w:val="00797690"/>
    <w:rsid w:val="007B7750"/>
    <w:rsid w:val="007E7730"/>
    <w:rsid w:val="007F08E1"/>
    <w:rsid w:val="008765BA"/>
    <w:rsid w:val="008B2F00"/>
    <w:rsid w:val="008D6863"/>
    <w:rsid w:val="0096150D"/>
    <w:rsid w:val="009720B1"/>
    <w:rsid w:val="009A1117"/>
    <w:rsid w:val="009B6D7A"/>
    <w:rsid w:val="00A23D2D"/>
    <w:rsid w:val="00A601C5"/>
    <w:rsid w:val="00A755C2"/>
    <w:rsid w:val="00AD7F98"/>
    <w:rsid w:val="00AF0CC2"/>
    <w:rsid w:val="00B51A9F"/>
    <w:rsid w:val="00B70D25"/>
    <w:rsid w:val="00B86B75"/>
    <w:rsid w:val="00BC48D5"/>
    <w:rsid w:val="00BF51AA"/>
    <w:rsid w:val="00C36279"/>
    <w:rsid w:val="00C40949"/>
    <w:rsid w:val="00C52D53"/>
    <w:rsid w:val="00C54761"/>
    <w:rsid w:val="00C55949"/>
    <w:rsid w:val="00CD0582"/>
    <w:rsid w:val="00D01836"/>
    <w:rsid w:val="00D260F6"/>
    <w:rsid w:val="00D409F5"/>
    <w:rsid w:val="00DF4ACA"/>
    <w:rsid w:val="00E17069"/>
    <w:rsid w:val="00E315A3"/>
    <w:rsid w:val="00E31FCB"/>
    <w:rsid w:val="00E324CF"/>
    <w:rsid w:val="00EB42D4"/>
    <w:rsid w:val="00EC634E"/>
    <w:rsid w:val="00ED7B8E"/>
    <w:rsid w:val="00FA3ED0"/>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uiPriority w:val="99"/>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 w:type="paragraph" w:styleId="Kopfzeile">
    <w:name w:val="header"/>
    <w:basedOn w:val="Standard"/>
    <w:link w:val="KopfzeileZchn"/>
    <w:uiPriority w:val="99"/>
    <w:unhideWhenUsed/>
    <w:rsid w:val="002847A0"/>
    <w:pPr>
      <w:tabs>
        <w:tab w:val="center" w:pos="4536"/>
        <w:tab w:val="right" w:pos="9072"/>
      </w:tabs>
      <w:spacing w:after="0"/>
    </w:pPr>
    <w:rPr>
      <w:sz w:val="22"/>
      <w:szCs w:val="22"/>
      <w:lang w:val="de-DE"/>
    </w:rPr>
  </w:style>
  <w:style w:type="character" w:customStyle="1" w:styleId="KopfzeileZchn">
    <w:name w:val="Kopfzeile Zchn"/>
    <w:basedOn w:val="Absatz-Standardschriftart"/>
    <w:link w:val="Kopfzeile"/>
    <w:uiPriority w:val="99"/>
    <w:rsid w:val="002847A0"/>
    <w:rPr>
      <w:sz w:val="22"/>
      <w:szCs w:val="22"/>
      <w:lang w:val="de-DE"/>
    </w:rPr>
  </w:style>
  <w:style w:type="table" w:customStyle="1" w:styleId="Tabellenraster1">
    <w:name w:val="Tabellenraster1"/>
    <w:basedOn w:val="NormaleTabelle"/>
    <w:next w:val="Tabellenraster"/>
    <w:uiPriority w:val="39"/>
    <w:rsid w:val="00A755C2"/>
    <w:pPr>
      <w:spacing w:after="0"/>
    </w:pPr>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487">
      <w:bodyDiv w:val="1"/>
      <w:marLeft w:val="0"/>
      <w:marRight w:val="0"/>
      <w:marTop w:val="0"/>
      <w:marBottom w:val="0"/>
      <w:divBdr>
        <w:top w:val="none" w:sz="0" w:space="0" w:color="auto"/>
        <w:left w:val="none" w:sz="0" w:space="0" w:color="auto"/>
        <w:bottom w:val="none" w:sz="0" w:space="0" w:color="auto"/>
        <w:right w:val="none" w:sz="0" w:space="0" w:color="auto"/>
      </w:divBdr>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93/mind/LIX.236.433"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philpapers.org/rec/TURC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1657</Words>
  <Characters>10443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Niko</dc:creator>
  <cp:keywords/>
  <dc:description>Informelle Rekonstruktion von Turings religiösem Argument gegen künstliche Intelligenz.</dc:description>
  <cp:lastModifiedBy>Niko</cp:lastModifiedBy>
  <cp:revision>31</cp:revision>
  <dcterms:created xsi:type="dcterms:W3CDTF">2020-09-21T15:12:00Z</dcterms:created>
  <dcterms:modified xsi:type="dcterms:W3CDTF">2020-09-26T15:12:00Z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