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Helsingborg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153. Merkuriusgatan 48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Ödåkra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Martina Höög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0706-952094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2023-05-17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Klätterställning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Voltstänger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Aktivitetslek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1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2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3</w:t>
            </w:r>
          </w:p>
        </w:tc>
      </w:tr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4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5</w:t>
            </w:r>
          </w:p>
        </w:tc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6</w:t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Klätterställning med rutsch</w:t>
      </w:r>
    </w:p>
    <w:p>
      <w:pPr>
        <w:pStyle w:val="subheading2"/>
      </w:pPr>
      <w:r>
        <w:t>Anmärkningar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-Grenar inkräktar på fallutrymmet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1176-1:4.2.8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-Lock till mutterskydd saknas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rPr>
          <w:b/>
        </w:rPr>
        <w:t>Produkt 3, Voltstänger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Vippgunga typ 2a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5, Vippgunga typ 2a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6, Aktivitetslek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pPr>
      <w:keepNext/>
    </w:pPr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