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仿宋" w:cs="仿宋"/>
          <w:b/>
          <w:sz w:val="44"/>
        </w:rPr>
        <w:t>向量检索基础调研报告（离线演示）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摘要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材料指出：在线服务对检索延迟有严格约束。材料指出：乘积量化把高维向量切分为若干个子向量，并对每个子空间分别训练一个包含 256 个中心点的码本。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关键词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流程验证；证据抽取；引用校验；离线演示；工作流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一、遴选理由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材料指出：向量检索是指在高维向量集合中，找出与查询向量距离最近的若干条记录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[1]</w:t>
      </w:r>
      <w:r>
        <w:rPr>
          <w:rFonts w:ascii="Times New Roman" w:hAnsi="Times New Roman" w:eastAsia="仿宋" w:cs="仿宋"/>
          <w:b w:val="0"/>
          <w:sz w:val="32"/>
        </w:rPr>
        <w:t>。材料指出：在线服务对检索延迟有严格约束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[2]</w:t>
      </w:r>
      <w:r>
        <w:rPr>
          <w:rFonts w:ascii="Times New Roman" w:hAnsi="Times New Roman" w:eastAsia="仿宋" w:cs="仿宋"/>
          <w:b w:val="0"/>
          <w:sz w:val="32"/>
        </w:rPr>
        <w:t>。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二、技术内涵</w:t>
      </w:r>
    </w:p>
    <w:p>
      <w:pPr>
        <w:pStyle w:val="Heading2"/>
      </w:pPr>
      <w:r>
        <w:rPr>
          <w:rFonts w:ascii="Times New Roman" w:hAnsi="Times New Roman" w:eastAsia="仿宋" w:cs="仿宋"/>
          <w:b/>
          <w:sz w:val="32"/>
        </w:rPr>
        <w:t>2.1 概念与检索机理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材料指出：基于图的索引把每个向量作为图中的节点，并为每个节点保留若干条指向相近向量的边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[3]</w:t>
      </w:r>
      <w:r>
        <w:rPr>
          <w:rFonts w:ascii="Times New Roman" w:hAnsi="Times New Roman" w:eastAsia="仿宋" w:cs="仿宋"/>
          <w:b w:val="0"/>
          <w:sz w:val="32"/>
        </w:rPr>
        <w:t>。材料指出：乘积量化把高维向量切分为若干个子向量，并对每个子空间分别训练一个包含 256 个中心点的码本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[4]</w:t>
      </w:r>
      <w:r>
        <w:rPr>
          <w:rFonts w:ascii="Times New Roman" w:hAnsi="Times New Roman" w:eastAsia="仿宋" w:cs="仿宋"/>
          <w:b w:val="0"/>
          <w:sz w:val="32"/>
        </w:rPr>
        <w:t>。</w:t>
      </w:r>
    </w:p>
    <w:p>
      <w:pPr>
        <w:pStyle w:val="Heading2"/>
      </w:pPr>
      <w:r>
        <w:rPr>
          <w:rFonts w:ascii="Times New Roman" w:hAnsi="Times New Roman" w:eastAsia="仿宋" w:cs="仿宋"/>
          <w:b/>
          <w:sz w:val="32"/>
        </w:rPr>
        <w:t>2.2 性能指标与边界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材料指出：评估近似检索的核心指标包括召回率、查询延迟、吞吐量和内存占用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[5]</w:t>
      </w:r>
      <w:r>
        <w:rPr>
          <w:rFonts w:ascii="Times New Roman" w:hAnsi="Times New Roman" w:eastAsia="仿宋" w:cs="仿宋"/>
          <w:b w:val="0"/>
          <w:sz w:val="32"/>
        </w:rPr>
        <w:t>。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三、应用与趋势</w:t>
      </w:r>
    </w:p>
    <w:p>
      <w:pPr>
        <w:pStyle w:val="Heading2"/>
      </w:pPr>
      <w:r>
        <w:rPr>
          <w:rFonts w:ascii="Times New Roman" w:hAnsi="Times New Roman" w:eastAsia="仿宋" w:cs="仿宋"/>
          <w:b/>
          <w:sz w:val="32"/>
        </w:rPr>
        <w:t>3.1 典型应用场景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材料指出：检索增强生成是向量检索最典型的应用：系统先把用户问题嵌入为向量，从知识库中检索最相关的片段，再交给语言模型生成回答</w:t>
      </w:r>
      <w:r>
        <w:rPr>
          <w:rFonts w:ascii="Times New Roman" w:hAnsi="Times New Roman" w:eastAsia="仿宋" w:cs="仿宋"/>
          <w:b w:val="0"/>
          <w:sz w:val="24"/>
          <w:vertAlign w:val="superscript"/>
        </w:rPr>
        <w:t>[6]</w:t>
      </w:r>
      <w:r>
        <w:rPr>
          <w:rFonts w:ascii="Times New Roman" w:hAnsi="Times New Roman" w:eastAsia="仿宋" w:cs="仿宋"/>
          <w:b w:val="0"/>
          <w:sz w:val="32"/>
        </w:rPr>
        <w:t>。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结论与展望</w:t>
      </w:r>
    </w:p>
    <w:p>
      <w:pPr>
        <w:spacing w:before="0" w:after="120" w:line="360" w:lineRule="auto"/>
        <w:ind w:firstLine="640"/>
      </w:pPr>
      <w:r>
        <w:rPr>
          <w:rFonts w:ascii="Times New Roman" w:hAnsi="Times New Roman" w:eastAsia="仿宋" w:cs="仿宋"/>
          <w:b w:val="0"/>
          <w:sz w:val="32"/>
        </w:rPr>
        <w:t>材料指出：乘积量化把高维向量切分为若干个子向量，并对每个子空间分别训练一个包含 256 个中心点的码本。</w:t>
      </w:r>
    </w:p>
    <w:p>
      <w:pPr>
        <w:pStyle w:val="Heading1"/>
      </w:pPr>
      <w:r>
        <w:rPr>
          <w:rFonts w:ascii="Times New Roman" w:hAnsi="Times New Roman" w:eastAsia="仿宋" w:cs="仿宋"/>
          <w:b/>
          <w:sz w:val="32"/>
        </w:rPr>
        <w:t>参考文献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[1]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演示素材A：向量检索要解决的问题.[EB/OL]. 2026. </w:t>
      </w:r>
      <w:hyperlink r:id="rId9">
        <w:r>
          <w:rPr>
            <w:rFonts w:ascii="Times New Roman" w:hAnsi="Times New Roman" w:eastAsia="仿宋" w:cs="仿宋"/>
            <w:sz w:val="32"/>
            <w:u w:val="single"/>
          </w:rPr>
          <w:t>https://example.com/demo/01[引用日期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[2]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演示素材B：为什么需要近似检索.[EB/OL]. 2026. </w:t>
      </w:r>
      <w:hyperlink r:id="rId10">
        <w:r>
          <w:rPr>
            <w:rFonts w:ascii="Times New Roman" w:hAnsi="Times New Roman" w:eastAsia="仿宋" w:cs="仿宋"/>
            <w:sz w:val="32"/>
            <w:u w:val="single"/>
          </w:rPr>
          <w:t>https://example.com/demo/02[引用日期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[3]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演示素材C：基于图的索引机理.[EB/OL]. 2026. </w:t>
      </w:r>
      <w:hyperlink r:id="rId11">
        <w:r>
          <w:rPr>
            <w:rFonts w:ascii="Times New Roman" w:hAnsi="Times New Roman" w:eastAsia="仿宋" w:cs="仿宋"/>
            <w:sz w:val="32"/>
            <w:u w:val="single"/>
          </w:rPr>
          <w:t>https://example.com/demo/03[引用日期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[4]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演示素材D：乘积量化与索引压缩.[EB/OL]. 2026. </w:t>
      </w:r>
      <w:hyperlink r:id="rId12">
        <w:r>
          <w:rPr>
            <w:rFonts w:ascii="Times New Roman" w:hAnsi="Times New Roman" w:eastAsia="仿宋" w:cs="仿宋"/>
            <w:sz w:val="32"/>
            <w:u w:val="single"/>
          </w:rPr>
          <w:t>https://example.com/demo/04[引用日期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[5]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演示素材E：评测指标与适用边界.[EB/OL]. 2026. </w:t>
      </w:r>
      <w:hyperlink r:id="rId13">
        <w:r>
          <w:rPr>
            <w:rFonts w:ascii="Times New Roman" w:hAnsi="Times New Roman" w:eastAsia="仿宋" w:cs="仿宋"/>
            <w:sz w:val="32"/>
            <w:u w:val="single"/>
          </w:rPr>
          <w:t>https://example.com/demo/05[引用日期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p>
      <w:pPr>
        <w:spacing w:before="0" w:after="60" w:line="360" w:lineRule="auto"/>
        <w:ind w:left="704" w:hanging="704"/>
      </w:pPr>
      <w:r>
        <w:rPr>
          <w:rFonts w:ascii="Times New Roman" w:hAnsi="Times New Roman" w:eastAsia="仿宋" w:cs="仿宋"/>
          <w:b w:val="0"/>
          <w:sz w:val="32"/>
        </w:rPr>
        <w:t xml:space="preserve">[6] </w:t>
      </w:r>
      <w:r>
        <w:rPr>
          <w:rFonts w:ascii="Times New Roman" w:hAnsi="Times New Roman" w:eastAsia="仿宋" w:cs="仿宋"/>
          <w:b w:val="0"/>
          <w:sz w:val="32"/>
        </w:rPr>
        <w:t xml:space="preserve">演示作者. 演示素材F：典型应用场景.[EB/OL]. 2026. </w:t>
      </w:r>
      <w:hyperlink r:id="rId14">
        <w:r>
          <w:rPr>
            <w:rFonts w:ascii="Times New Roman" w:hAnsi="Times New Roman" w:eastAsia="仿宋" w:cs="仿宋"/>
            <w:sz w:val="32"/>
            <w:u w:val="single"/>
          </w:rPr>
          <w:t>https://example.com/demo/06[引用日期</w:t>
        </w:r>
      </w:hyperlink>
      <w:r>
        <w:rPr>
          <w:rFonts w:ascii="Times New Roman" w:hAnsi="Times New Roman" w:eastAsia="仿宋" w:cs="仿宋"/>
          <w:b w:val="0"/>
          <w:sz w:val="32"/>
        </w:rPr>
        <w:t xml:space="preserve"> 2026-10-04]。</w:t>
      </w:r>
    </w:p>
    <w:sectPr w:rsidR="00FC693F" w:rsidRPr="0006063C" w:rsidSect="00034616">
      <w:footerReference w:type="default" r:id="rId15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" w:cs="仿宋"/>
        <w:b w:val="0"/>
        <w:sz w:val="21"/>
      </w:rPr>
      <w:fldChar w:fldCharType="begin"/>
    </w:r>
    <w:r>
      <w:rPr>
        <w:rFonts w:ascii="Times New Roman" w:hAnsi="Times New Roman" w:eastAsia="仿宋" w:cs="仿宋"/>
        <w:b w:val="0"/>
        <w:sz w:val="21"/>
      </w:rPr>
      <w:instrText xml:space="preserve"> PAGE </w:instrText>
    </w:r>
    <w:r>
      <w:rPr>
        <w:rFonts w:ascii="Times New Roman" w:hAnsi="Times New Roman" w:eastAsia="仿宋" w:cs="仿宋"/>
        <w:b w:val="0"/>
        <w:sz w:val="21"/>
      </w:rPr>
      <w:fldChar w:fldCharType="separate"/>
    </w:r>
    <w:r>
      <w:rPr>
        <w:rFonts w:ascii="Times New Roman" w:hAnsi="Times New Roman" w:eastAsia="仿宋" w:cs="仿宋"/>
        <w:b w:val="0"/>
        <w:sz w:val="21"/>
      </w:rPr>
      <w:t>1</w:t>
    </w:r>
    <w:r>
      <w:rPr>
        <w:rFonts w:ascii="Times New Roman" w:hAnsi="Times New Roman" w:eastAsia="仿宋" w:cs="仿宋"/>
        <w:b w:val="0"/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</w:pPr>
    <w:rPr>
      <w:rFonts w:ascii="Times New Roman" w:hAnsi="Times New Roman" w:eastAsia="仿宋" w:cs="仿宋"/>
      <w:i w:val="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="Times New Roman" w:hAnsi="Times New Roman" w:eastAsia="仿宋" w:cs="仿宋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="Times New Roman" w:hAnsi="Times New Roman" w:eastAsia="仿宋" w:cs="仿宋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360" w:lineRule="auto" w:before="0"/>
      <w:contextualSpacing/>
      <w:jc w:val="center"/>
    </w:pPr>
    <w:rPr>
      <w:rFonts w:ascii="Times New Roman" w:hAnsi="Times New Roman" w:eastAsia="仿宋" w:cs="仿宋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20" w:line="360" w:lineRule="auto"/>
      <w:contextualSpacing/>
    </w:pPr>
    <w:rPr>
      <w:rFonts w:ascii="Times New Roman" w:hAnsi="Times New Roman" w:eastAsia="仿宋" w:cs="仿宋"/>
      <w:i w:val="0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demo/01[&#24341;&#29992;&#26085;&#26399;" TargetMode="External"/><Relationship Id="rId10" Type="http://schemas.openxmlformats.org/officeDocument/2006/relationships/hyperlink" Target="https://example.com/demo/02[&#24341;&#29992;&#26085;&#26399;" TargetMode="External"/><Relationship Id="rId11" Type="http://schemas.openxmlformats.org/officeDocument/2006/relationships/hyperlink" Target="https://example.com/demo/03[&#24341;&#29992;&#26085;&#26399;" TargetMode="External"/><Relationship Id="rId12" Type="http://schemas.openxmlformats.org/officeDocument/2006/relationships/hyperlink" Target="https://example.com/demo/04[&#24341;&#29992;&#26085;&#26399;" TargetMode="External"/><Relationship Id="rId13" Type="http://schemas.openxmlformats.org/officeDocument/2006/relationships/hyperlink" Target="https://example.com/demo/05[&#24341;&#29992;&#26085;&#26399;" TargetMode="External"/><Relationship Id="rId14" Type="http://schemas.openxmlformats.org/officeDocument/2006/relationships/hyperlink" Target="https://example.com/demo/06[&#24341;&#29992;&#26085;&#26399;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