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42"/>
          <w:szCs w:val="42"/>
        </w:rPr>
      </w:pPr>
      <w:bookmarkStart w:colFirst="0" w:colLast="0" w:name="_q997qv83rfu4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Resultados cuantitativos</w:t>
      </w: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2955"/>
        <w:gridCol w:w="2955"/>
        <w:tblGridChange w:id="0">
          <w:tblGrid>
            <w:gridCol w:w="2985"/>
            <w:gridCol w:w="2955"/>
            <w:gridCol w:w="29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4f81bd" w:space="0" w:sz="7" w:val="single"/>
              <w:left w:color="000000" w:space="0" w:sz="0" w:val="nil"/>
              <w:bottom w:color="4f81bd" w:space="0" w:sz="7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Indicador</w:t>
            </w:r>
          </w:p>
        </w:tc>
        <w:tc>
          <w:tcPr>
            <w:tcBorders>
              <w:top w:color="4f81bd" w:space="0" w:sz="7" w:val="single"/>
              <w:left w:color="000000" w:space="0" w:sz="0" w:val="nil"/>
              <w:bottom w:color="4f81bd" w:space="0" w:sz="7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En calma</w:t>
            </w:r>
          </w:p>
        </w:tc>
        <w:tc>
          <w:tcPr>
            <w:tcBorders>
              <w:top w:color="4f81bd" w:space="0" w:sz="7" w:val="single"/>
              <w:left w:color="000000" w:space="0" w:sz="0" w:val="nil"/>
              <w:bottom w:color="4f81bd" w:space="0" w:sz="7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Bajo carga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Latencia mediana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103.0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100.8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Latencia P95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122.5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119.8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Red mediana estimada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33.1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33.1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Cómputo mediano estimado (ms)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69.8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67.7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Exactitud LAYA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34 %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3df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34 %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f81bd" w:space="0" w:sz="7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Exactitud clasificador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7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80 %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f81bd" w:space="0" w:sz="7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365f91"/>
                <w:sz w:val="18"/>
                <w:szCs w:val="18"/>
              </w:rPr>
            </w:pPr>
            <w:r w:rsidDel="00000000" w:rsidR="00000000" w:rsidRPr="00000000">
              <w:rPr>
                <w:color w:val="365f91"/>
                <w:sz w:val="18"/>
                <w:szCs w:val="18"/>
                <w:rtl w:val="0"/>
              </w:rPr>
              <w:t xml:space="preserve">80 %</w:t>
            </w:r>
          </w:p>
        </w:tc>
      </w:tr>
    </w:tbl>
    <w:p w:rsidR="00000000" w:rsidDel="00000000" w:rsidP="00000000" w:rsidRDefault="00000000" w:rsidRPr="00000000" w14:paraId="00000017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Nota: los campos de red y cómputo son estimaciones registradas por el script; no deben presentarse como mediciones instrumentales independientes. Los valores se calcularon directamente desde los CSV aportados.</w:t>
      </w:r>
    </w:p>
    <w:p w:rsidR="00000000" w:rsidDel="00000000" w:rsidP="00000000" w:rsidRDefault="00000000" w:rsidRPr="00000000" w14:paraId="00000018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Comparación: las medianas de latencia fueron 103.0 ms en calma y 100.8 ms bajo carga. El P95 fue 122.5 ms y 119.8 ms, respectivamente. No se debe afirmar un aumento generalizado sin considerar ambos indicadores.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sz w:val="42"/>
          <w:szCs w:val="42"/>
        </w:rPr>
      </w:pPr>
      <w:bookmarkStart w:colFirst="0" w:colLast="0" w:name="_6f43yvxujrgw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Analisis de errores: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 el conjunto de 50 frases, LAYA acertó 17 casos (34 %) y el clasificador por palabras clave acertó 40 (80 %). Esto indica que, para estas frases y esta configuración, el método por reglas resultó más preciso. Por ejemplo, en «agarra el cubo verde» la decisión de LAYA indicó rojo; en «recoge la pelota roja del piso» clasificó la acción como mover, y en «recoge el bloque rojo» registró el objeto como desconocido. Estos casos ilustran confusiones en colores, acciones y nombres de objetos. El clasificador por palabras clave también tuvo errores, previsiblemente cuando la frase no coincide con las expresiones programadas. No debe generalizarse esta exactitud a otras frases sin más pruebas. En ambos archivos CSV, el indicador de degradación no registró activaciones; por ello, la conmutación automática por timeout requiere una prueba específica. La diferencia entre condiciones de calma y carga debe interpretarse junto con la fotografía de los cuatro equipos consultando a la vez y con la identificación de la hora de captura.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7tl0oqorx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Evidencia: Verificación del nodo y servicio ROS 2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realizaron pruebas mediante la terminal de la Raspberry Pi para verificar la presencia del nodo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interprete_ordenes</w:t>
      </w:r>
      <w:r w:rsidDel="00000000" w:rsidR="00000000" w:rsidRPr="00000000">
        <w:rPr>
          <w:rtl w:val="0"/>
        </w:rPr>
        <w:t xml:space="preserve"> y del 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/interpretar_orden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 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ros2 param list /interprete_ordenes</w:t>
      </w:r>
      <w:r w:rsidDel="00000000" w:rsidR="00000000" w:rsidRPr="00000000">
        <w:rPr>
          <w:rtl w:val="0"/>
        </w:rPr>
        <w:t xml:space="preserve">, se identificaron los parámetros de configuración del sistema, incluyendo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timeout_ms</w:t>
      </w:r>
      <w:r w:rsidDel="00000000" w:rsidR="00000000" w:rsidRPr="00000000">
        <w:rPr>
          <w:rtl w:val="0"/>
        </w:rPr>
        <w:t xml:space="preserve">, que corresponde al tiempo límite de respuesta.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Asimismo, se comprobó la existencia del 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/interpretar_orden</w:t>
      </w:r>
      <w:r w:rsidDel="00000000" w:rsidR="00000000" w:rsidRPr="00000000">
        <w:rPr>
          <w:rtl w:val="0"/>
        </w:rPr>
        <w:t xml:space="preserve">, encontrándose tres tipos de interfaces registradas. Durante la inspección se detectaron cinco instancias con el mismo nombre de nodo, por lo que se requiere verificar la configuración del entorno ROS 2 para evitar conflictos.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pruebas confirman la presencia de los componentes de interpretación en el grafo ROS 2, aunque aún se debe comprobar el valor efectivo del timeout y su funcionamiento ante una falla de comunicación con LAYA.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Captura A. Cuatro terminales consultando simultáneamente (carga)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Captura B. Una terminal consultando (calma)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